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pacing w:before="55" w:after="0" w:line="240" w:lineRule="auto"/>
        <w:ind w:left="233" w:right="0"/>
        <w:jc w:val="left"/>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附件 1</w:t>
      </w:r>
    </w:p>
    <w:p>
      <w:pPr>
        <w:widowControl w:val="0"/>
        <w:autoSpaceDE w:val="0"/>
        <w:autoSpaceDN w:val="0"/>
        <w:spacing w:before="0" w:after="0" w:line="240" w:lineRule="auto"/>
        <w:ind w:left="0" w:right="0"/>
        <w:jc w:val="left"/>
        <w:rPr>
          <w:rFonts w:ascii="黑体" w:hAnsi="仿宋" w:eastAsia="仿宋" w:cs="仿宋"/>
          <w:sz w:val="20"/>
          <w:szCs w:val="32"/>
          <w:lang w:val="zh-CN" w:eastAsia="zh-CN" w:bidi="zh-CN"/>
        </w:rPr>
      </w:pPr>
    </w:p>
    <w:p>
      <w:pPr>
        <w:widowControl w:val="0"/>
        <w:autoSpaceDE w:val="0"/>
        <w:autoSpaceDN w:val="0"/>
        <w:spacing w:before="11" w:after="0" w:line="240" w:lineRule="auto"/>
        <w:ind w:left="0" w:right="0"/>
        <w:jc w:val="left"/>
        <w:rPr>
          <w:rFonts w:ascii="黑体" w:hAnsi="仿宋" w:eastAsia="仿宋" w:cs="仿宋"/>
          <w:sz w:val="22"/>
          <w:szCs w:val="32"/>
          <w:lang w:val="zh-CN" w:eastAsia="zh-CN" w:bidi="zh-CN"/>
        </w:rPr>
      </w:pPr>
      <w:bookmarkStart w:id="0" w:name="_GoBack"/>
      <w:bookmarkEnd w:id="0"/>
    </w:p>
    <w:p>
      <w:pPr>
        <w:widowControl w:val="0"/>
        <w:autoSpaceDE w:val="0"/>
        <w:autoSpaceDN w:val="0"/>
        <w:spacing w:before="0" w:after="0" w:line="736" w:lineRule="exact"/>
        <w:ind w:left="1603" w:right="0"/>
        <w:jc w:val="left"/>
        <w:outlineLvl w:val="1"/>
        <w:rPr>
          <w:rFonts w:ascii="方正小标宋简体" w:hAnsi="方正小标宋简体" w:eastAsia="方正小标宋简体" w:cs="方正小标宋简体"/>
          <w:sz w:val="44"/>
          <w:szCs w:val="44"/>
          <w:lang w:val="zh-CN" w:eastAsia="zh-CN" w:bidi="zh-CN"/>
        </w:rPr>
      </w:pPr>
      <w:r>
        <w:rPr>
          <w:rFonts w:ascii="方正小标宋简体" w:hAnsi="方正小标宋简体" w:eastAsia="方正小标宋简体" w:cs="方正小标宋简体"/>
          <w:sz w:val="44"/>
          <w:szCs w:val="44"/>
          <w:lang w:val="zh-CN" w:eastAsia="zh-CN" w:bidi="zh-CN"/>
        </w:rPr>
        <w:t>新文科研究与改革实践项目指南</w:t>
      </w:r>
    </w:p>
    <w:p>
      <w:pPr>
        <w:widowControl w:val="0"/>
        <w:autoSpaceDE w:val="0"/>
        <w:autoSpaceDN w:val="0"/>
        <w:spacing w:before="13" w:after="0" w:line="240" w:lineRule="auto"/>
        <w:ind w:left="0" w:right="0"/>
        <w:jc w:val="left"/>
        <w:rPr>
          <w:rFonts w:ascii="方正小标宋简体" w:hAnsi="仿宋" w:eastAsia="仿宋" w:cs="仿宋"/>
          <w:sz w:val="30"/>
          <w:szCs w:val="32"/>
          <w:lang w:val="zh-CN" w:eastAsia="zh-CN" w:bidi="zh-CN"/>
        </w:rPr>
      </w:pPr>
    </w:p>
    <w:p>
      <w:pPr>
        <w:widowControl w:val="0"/>
        <w:autoSpaceDE w:val="0"/>
        <w:autoSpaceDN w:val="0"/>
        <w:spacing w:before="0" w:after="0" w:line="240" w:lineRule="auto"/>
        <w:ind w:left="874" w:right="0"/>
        <w:jc w:val="left"/>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一、新文科建设发展理念研究与实践</w:t>
      </w:r>
    </w:p>
    <w:p>
      <w:pPr>
        <w:widowControl w:val="0"/>
        <w:numPr>
          <w:ilvl w:val="0"/>
          <w:numId w:val="1"/>
        </w:numPr>
        <w:tabs>
          <w:tab w:val="left" w:pos="1201"/>
        </w:tabs>
        <w:autoSpaceDE w:val="0"/>
        <w:autoSpaceDN w:val="0"/>
        <w:spacing w:before="151"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新文科建设发展理念研究</w:t>
      </w:r>
    </w:p>
    <w:p>
      <w:pPr>
        <w:widowControl w:val="0"/>
        <w:autoSpaceDE w:val="0"/>
        <w:autoSpaceDN w:val="0"/>
        <w:spacing w:before="150" w:after="0" w:line="328" w:lineRule="auto"/>
        <w:ind w:left="233" w:right="1236"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坚持以习近平新时代中国特色社会主义思想为指导推进新文科建设，深入推进习近平新时代中国特色社会主义思</w:t>
      </w:r>
      <w:r>
        <w:rPr>
          <w:rFonts w:ascii="仿宋" w:hAnsi="仿宋" w:eastAsia="仿宋" w:cs="仿宋"/>
          <w:spacing w:val="-13"/>
          <w:sz w:val="32"/>
          <w:szCs w:val="32"/>
          <w:lang w:val="zh-CN" w:eastAsia="zh-CN" w:bidi="zh-CN"/>
        </w:rPr>
        <w:t>想“三进”、高校“四史”教育、中华优秀传统文化创造性转化、</w:t>
      </w:r>
      <w:r>
        <w:rPr>
          <w:rFonts w:ascii="仿宋" w:hAnsi="仿宋" w:eastAsia="仿宋" w:cs="仿宋"/>
          <w:sz w:val="32"/>
          <w:szCs w:val="32"/>
          <w:lang w:val="zh-CN" w:eastAsia="zh-CN" w:bidi="zh-CN"/>
        </w:rPr>
        <w:t>创新性发展的有效路径、模式、机制研究。发挥文科教育知识性与价值性相统一的特点，全面推进高校课程思政建设，切实提升学生的政治认同、家国情怀、文化素养、法治意识、道德修养， 培养担当民族复兴大任的新时代文科人才。</w:t>
      </w:r>
    </w:p>
    <w:p>
      <w:pPr>
        <w:widowControl w:val="0"/>
        <w:autoSpaceDE w:val="0"/>
        <w:autoSpaceDN w:val="0"/>
        <w:spacing w:before="0" w:after="0" w:line="397" w:lineRule="exact"/>
        <w:ind w:left="876" w:right="0"/>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研究论文、研究报告、案例分析、政策建议等。</w:t>
      </w:r>
    </w:p>
    <w:p>
      <w:pPr>
        <w:widowControl w:val="0"/>
        <w:numPr>
          <w:ilvl w:val="0"/>
          <w:numId w:val="1"/>
        </w:numPr>
        <w:tabs>
          <w:tab w:val="left" w:pos="1201"/>
        </w:tabs>
        <w:autoSpaceDE w:val="0"/>
        <w:autoSpaceDN w:val="0"/>
        <w:spacing w:before="151"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新文科建设改革与发展研究</w:t>
      </w:r>
    </w:p>
    <w:p>
      <w:pPr>
        <w:widowControl w:val="0"/>
        <w:autoSpaceDE w:val="0"/>
        <w:autoSpaceDN w:val="0"/>
        <w:spacing w:before="149" w:after="0" w:line="328" w:lineRule="auto"/>
        <w:ind w:left="233" w:right="1409"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系统总结文科教育发展和文科人才培养的历史经验，深入研究分析新文科建设面临的机遇和挑战，明确文科教育在整个高等教育中的新定位新功能。主动服务国家软实力提升和文化繁荣发展新需求，尊重文科教育特点和文科人才成长规律， 明确各专业类新文科建设的重点难点问题，研究提出各专业类新文科建设人才培养目标、知识能力素质要求及实现途径。研究高等文科教育发展与经济社会发展、新科技革命和产业变革间的互动规律和未来发展趋势，探索推进跨专业、跨学科门类交叉融合</w:t>
      </w:r>
    </w:p>
    <w:p>
      <w:pPr>
        <w:spacing w:after="0" w:line="328" w:lineRule="auto"/>
        <w:jc w:val="both"/>
        <w:sectPr>
          <w:footerReference r:id="rId5" w:type="default"/>
          <w:footerReference r:id="rId6" w:type="even"/>
          <w:pgSz w:w="11860" w:h="16790"/>
          <w:pgMar w:top="1600" w:right="0" w:bottom="1660" w:left="1240" w:header="0" w:footer="1473" w:gutter="0"/>
          <w:pgNumType w:start="6"/>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240" w:lineRule="auto"/>
        <w:ind w:left="233" w:right="0"/>
        <w:jc w:val="left"/>
        <w:rPr>
          <w:rFonts w:ascii="仿宋" w:hAnsi="仿宋" w:eastAsia="仿宋" w:cs="仿宋"/>
          <w:sz w:val="32"/>
          <w:szCs w:val="32"/>
          <w:lang w:val="zh-CN" w:eastAsia="zh-CN" w:bidi="zh-CN"/>
        </w:rPr>
      </w:pPr>
      <w:r>
        <w:rPr>
          <w:rFonts w:ascii="仿宋" w:hAnsi="仿宋" w:eastAsia="仿宋" w:cs="仿宋"/>
          <w:sz w:val="32"/>
          <w:szCs w:val="32"/>
          <w:lang w:val="zh-CN" w:eastAsia="zh-CN" w:bidi="zh-CN"/>
        </w:rPr>
        <w:t>的有效路径。</w:t>
      </w:r>
    </w:p>
    <w:p>
      <w:pPr>
        <w:spacing w:before="149"/>
        <w:ind w:left="876" w:right="0" w:firstLine="0"/>
        <w:jc w:val="left"/>
        <w:rPr>
          <w:sz w:val="32"/>
        </w:rPr>
      </w:pPr>
      <w:r>
        <w:rPr>
          <w:b/>
          <w:sz w:val="32"/>
        </w:rPr>
        <w:t>预期成果：</w:t>
      </w:r>
      <w:r>
        <w:rPr>
          <w:sz w:val="32"/>
        </w:rPr>
        <w:t>研究报告、政策建议、典型案例集等。</w:t>
      </w:r>
    </w:p>
    <w:p>
      <w:pPr>
        <w:widowControl w:val="0"/>
        <w:numPr>
          <w:ilvl w:val="0"/>
          <w:numId w:val="1"/>
        </w:numPr>
        <w:tabs>
          <w:tab w:val="left" w:pos="1201"/>
        </w:tabs>
        <w:autoSpaceDE w:val="0"/>
        <w:autoSpaceDN w:val="0"/>
        <w:spacing w:before="151"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新文科建设政策与支撑体系研究</w:t>
      </w:r>
    </w:p>
    <w:p>
      <w:pPr>
        <w:widowControl w:val="0"/>
        <w:autoSpaceDE w:val="0"/>
        <w:autoSpaceDN w:val="0"/>
        <w:spacing w:before="150" w:after="0" w:line="328" w:lineRule="auto"/>
        <w:ind w:left="233" w:right="1241"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调研分析综合类、文科类、理工农医类等不同类型高校文科教育建设发展情况，总结提炼推进新文科建设的经验做法，结合学科专业特点形成一批典型案例，为新文科建设分类发展贡献可借鉴的有效经验。坚持问题导向，从宏观、中观和微</w:t>
      </w:r>
      <w:r>
        <w:rPr>
          <w:rFonts w:ascii="仿宋" w:hAnsi="仿宋" w:eastAsia="仿宋" w:cs="仿宋"/>
          <w:spacing w:val="-13"/>
          <w:sz w:val="32"/>
          <w:szCs w:val="32"/>
          <w:lang w:val="zh-CN" w:eastAsia="zh-CN" w:bidi="zh-CN"/>
        </w:rPr>
        <w:t>观不同角度，分析新文科建设面临的重点难点问题，从经费投入、</w:t>
      </w:r>
      <w:r>
        <w:rPr>
          <w:rFonts w:ascii="仿宋" w:hAnsi="仿宋" w:eastAsia="仿宋" w:cs="仿宋"/>
          <w:sz w:val="32"/>
          <w:szCs w:val="32"/>
          <w:lang w:val="zh-CN" w:eastAsia="zh-CN" w:bidi="zh-CN"/>
        </w:rPr>
        <w:t>组织管理、评价激励、招生培养就业等方面提出推动新文科建设改革举措，完善新文科建设的政策支撑和条件保障。</w:t>
      </w:r>
    </w:p>
    <w:p>
      <w:pPr>
        <w:widowControl w:val="0"/>
        <w:autoSpaceDE w:val="0"/>
        <w:autoSpaceDN w:val="0"/>
        <w:spacing w:before="0" w:after="0" w:line="397" w:lineRule="exact"/>
        <w:ind w:left="876" w:right="0"/>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调研报告、咨询报告、政策建议、典型案例等。</w:t>
      </w:r>
    </w:p>
    <w:p>
      <w:pPr>
        <w:widowControl w:val="0"/>
        <w:autoSpaceDE w:val="0"/>
        <w:autoSpaceDN w:val="0"/>
        <w:spacing w:before="151" w:after="0" w:line="240" w:lineRule="auto"/>
        <w:ind w:left="874" w:right="0"/>
        <w:jc w:val="left"/>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二、新文科专业优化研究与实践</w:t>
      </w:r>
    </w:p>
    <w:p>
      <w:pPr>
        <w:widowControl w:val="0"/>
        <w:numPr>
          <w:ilvl w:val="0"/>
          <w:numId w:val="1"/>
        </w:numPr>
        <w:tabs>
          <w:tab w:val="left" w:pos="1201"/>
        </w:tabs>
        <w:autoSpaceDE w:val="0"/>
        <w:autoSpaceDN w:val="0"/>
        <w:spacing w:before="149"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新时代文科专业结构优化研究与实践</w:t>
      </w:r>
    </w:p>
    <w:p>
      <w:pPr>
        <w:widowControl w:val="0"/>
        <w:autoSpaceDE w:val="0"/>
        <w:autoSpaceDN w:val="0"/>
        <w:spacing w:before="150" w:after="0" w:line="328" w:lineRule="auto"/>
        <w:ind w:left="233" w:right="1409"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面向国家重大战略需要和经济社会发展新形势新要求，分行业开展人才需求调研，建立完善人才需求预测预警机制和学科专业动态调整机制，提出新文科人才培养引导性专业建议目录。应对新一轮科技革命和产业变革，提升文科人才职业适应性和胜任力，探讨新时代文科人才必须具备的知识能力素质， 明确各专业类人才的核心能力架构，为高校制订修订人才培养方案提供依据。</w:t>
      </w:r>
    </w:p>
    <w:p>
      <w:pPr>
        <w:widowControl w:val="0"/>
        <w:autoSpaceDE w:val="0"/>
        <w:autoSpaceDN w:val="0"/>
        <w:spacing w:before="0" w:after="0" w:line="326" w:lineRule="auto"/>
        <w:ind w:left="233" w:right="1241" w:firstLine="643"/>
        <w:jc w:val="left"/>
        <w:rPr>
          <w:rFonts w:ascii="仿宋" w:hAnsi="仿宋" w:eastAsia="仿宋" w:cs="仿宋"/>
          <w:sz w:val="32"/>
          <w:szCs w:val="32"/>
          <w:lang w:val="zh-CN" w:eastAsia="zh-CN" w:bidi="zh-CN"/>
        </w:rPr>
      </w:pPr>
      <w:r>
        <w:rPr>
          <w:rFonts w:ascii="仿宋" w:hAnsi="仿宋" w:eastAsia="仿宋" w:cs="仿宋"/>
          <w:b/>
          <w:spacing w:val="-15"/>
          <w:sz w:val="32"/>
          <w:szCs w:val="32"/>
          <w:lang w:val="zh-CN" w:eastAsia="zh-CN" w:bidi="zh-CN"/>
        </w:rPr>
        <w:t>预期成果：</w:t>
      </w:r>
      <w:r>
        <w:rPr>
          <w:rFonts w:ascii="仿宋" w:hAnsi="仿宋" w:eastAsia="仿宋" w:cs="仿宋"/>
          <w:spacing w:val="-9"/>
          <w:sz w:val="32"/>
          <w:szCs w:val="32"/>
          <w:lang w:val="zh-CN" w:eastAsia="zh-CN" w:bidi="zh-CN"/>
        </w:rPr>
        <w:t>人才需求调研报告、重点领域人才培养政策建议、</w:t>
      </w:r>
      <w:r>
        <w:rPr>
          <w:rFonts w:ascii="仿宋" w:hAnsi="仿宋" w:eastAsia="仿宋" w:cs="仿宋"/>
          <w:sz w:val="32"/>
          <w:szCs w:val="32"/>
          <w:lang w:val="zh-CN" w:eastAsia="zh-CN" w:bidi="zh-CN"/>
        </w:rPr>
        <w:t>新文科人才培养引导性专业建议目录、文科专业改革案例等。</w:t>
      </w:r>
    </w:p>
    <w:p>
      <w:pPr>
        <w:widowControl w:val="0"/>
        <w:numPr>
          <w:ilvl w:val="0"/>
          <w:numId w:val="1"/>
        </w:numPr>
        <w:tabs>
          <w:tab w:val="left" w:pos="1201"/>
        </w:tabs>
        <w:autoSpaceDE w:val="0"/>
        <w:autoSpaceDN w:val="0"/>
        <w:spacing w:before="0"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原有文科专业改造提升改革与实践</w:t>
      </w:r>
    </w:p>
    <w:p>
      <w:pPr>
        <w:spacing w:after="0" w:line="240" w:lineRule="auto"/>
        <w:jc w:val="left"/>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楷体" w:hAnsi="仿宋" w:eastAsia="仿宋" w:cs="仿宋"/>
          <w:b/>
          <w:sz w:val="20"/>
          <w:szCs w:val="32"/>
          <w:lang w:val="zh-CN" w:eastAsia="zh-CN" w:bidi="zh-CN"/>
        </w:rPr>
      </w:pPr>
    </w:p>
    <w:p>
      <w:pPr>
        <w:widowControl w:val="0"/>
        <w:autoSpaceDE w:val="0"/>
        <w:autoSpaceDN w:val="0"/>
        <w:spacing w:before="7" w:after="0" w:line="240" w:lineRule="auto"/>
        <w:ind w:left="0" w:right="0"/>
        <w:jc w:val="left"/>
        <w:rPr>
          <w:rFonts w:ascii="楷体" w:hAnsi="仿宋" w:eastAsia="仿宋" w:cs="仿宋"/>
          <w:b/>
          <w:sz w:val="15"/>
          <w:szCs w:val="32"/>
          <w:lang w:val="zh-CN" w:eastAsia="zh-CN" w:bidi="zh-CN"/>
        </w:rPr>
      </w:pPr>
    </w:p>
    <w:p>
      <w:pPr>
        <w:widowControl w:val="0"/>
        <w:autoSpaceDE w:val="0"/>
        <w:autoSpaceDN w:val="0"/>
        <w:spacing w:before="55" w:after="0" w:line="328"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夯实哲学、经济学、历史学、中国语言文学等基础学科专业建设和人才培养。紧跟新一轮科技革命和产业变革新趋势，积极推动人工智能、大数据等现代信息技术与原有文科专业深入融合，推动文科人才培养与教学研究范式的创新，促进文科与理工农医的深度交叉融合，推动专业知识体系和能力要求的更新，探索原有文科专业内涵提升、改造升级的实施路径。</w:t>
      </w:r>
    </w:p>
    <w:p>
      <w:pPr>
        <w:widowControl w:val="0"/>
        <w:autoSpaceDE w:val="0"/>
        <w:autoSpaceDN w:val="0"/>
        <w:spacing w:before="0" w:after="0" w:line="326" w:lineRule="auto"/>
        <w:ind w:left="233" w:right="1402"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国家级和省级文科类“一流专业”、原有文科专业人才培养改革方案等。</w:t>
      </w:r>
    </w:p>
    <w:p>
      <w:pPr>
        <w:widowControl w:val="0"/>
        <w:numPr>
          <w:ilvl w:val="0"/>
          <w:numId w:val="1"/>
        </w:numPr>
        <w:tabs>
          <w:tab w:val="left" w:pos="1201"/>
        </w:tabs>
        <w:autoSpaceDE w:val="0"/>
        <w:autoSpaceDN w:val="0"/>
        <w:spacing w:before="0"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新兴文科专业建设探索与实践</w:t>
      </w:r>
    </w:p>
    <w:p>
      <w:pPr>
        <w:widowControl w:val="0"/>
        <w:autoSpaceDE w:val="0"/>
        <w:autoSpaceDN w:val="0"/>
        <w:spacing w:before="144" w:after="0" w:line="328" w:lineRule="auto"/>
        <w:ind w:left="233" w:right="1409"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围绕国家经济社会高质量发展和新一轮改革开放重点领域的人才需求，开展深入调研，研究探索现代信息技术与文科专业、文科专业之间、文科与理工农医科专业深度交叉融合的新方向，研究提出新兴文科专业的增长点和发展方向。科学确定新兴专业人才培养目标和培养标准，探索基于多学科交叉复合的新课程体系、教学内容、培养方式。</w:t>
      </w:r>
    </w:p>
    <w:p>
      <w:pPr>
        <w:widowControl w:val="0"/>
        <w:autoSpaceDE w:val="0"/>
        <w:autoSpaceDN w:val="0"/>
        <w:spacing w:before="0" w:after="0" w:line="326" w:lineRule="auto"/>
        <w:ind w:left="233" w:right="1409"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新兴文科专业设置论证报告、新兴文科专业建设和人才培养方案等。</w:t>
      </w:r>
    </w:p>
    <w:p>
      <w:pPr>
        <w:widowControl w:val="0"/>
        <w:numPr>
          <w:ilvl w:val="0"/>
          <w:numId w:val="1"/>
        </w:numPr>
        <w:tabs>
          <w:tab w:val="left" w:pos="1201"/>
        </w:tabs>
        <w:autoSpaceDE w:val="0"/>
        <w:autoSpaceDN w:val="0"/>
        <w:spacing w:before="0"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新文科课程体系和教材体系建设实践</w:t>
      </w:r>
    </w:p>
    <w:p>
      <w:pPr>
        <w:widowControl w:val="0"/>
        <w:autoSpaceDE w:val="0"/>
        <w:autoSpaceDN w:val="0"/>
        <w:spacing w:before="145" w:after="0" w:line="328"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着眼培养学生跨领域知识融通能力和实践能力， 整体设计面向新文科的课程与教材体系，推动将中国改革开放伟大实践的最新成果、中国特色哲学社会科学理论创新的最新成果及时转化融入教育教学，提高教育教学的时代性、学术性和针对性。构建中国特色的文化素质教育课程体系，推动建设跨学科、</w:t>
      </w:r>
    </w:p>
    <w:p>
      <w:pPr>
        <w:spacing w:after="0" w:line="328" w:lineRule="auto"/>
        <w:jc w:val="both"/>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328" w:lineRule="auto"/>
        <w:ind w:left="233" w:right="1401"/>
        <w:jc w:val="both"/>
        <w:rPr>
          <w:rFonts w:ascii="仿宋" w:hAnsi="仿宋" w:eastAsia="仿宋" w:cs="仿宋"/>
          <w:sz w:val="32"/>
          <w:szCs w:val="32"/>
          <w:lang w:val="zh-CN" w:eastAsia="zh-CN" w:bidi="zh-CN"/>
        </w:rPr>
      </w:pPr>
      <w:r>
        <w:rPr>
          <w:rFonts w:ascii="仿宋" w:hAnsi="仿宋" w:eastAsia="仿宋" w:cs="仿宋"/>
          <w:sz w:val="32"/>
          <w:szCs w:val="32"/>
          <w:lang w:val="zh-CN" w:eastAsia="zh-CN" w:bidi="zh-CN"/>
        </w:rPr>
        <w:t>多学科交叉融合专业课程体系。联合开发一批中国特色哲学社会科学教材，推动数字化教材及配套资源建设，建设及共享一批中国特色的文科教学案例及案例库、文科专业课程思政建设案例及案例库，开展中国特色新文科教材的国际推介。</w:t>
      </w:r>
    </w:p>
    <w:p>
      <w:pPr>
        <w:widowControl w:val="0"/>
        <w:autoSpaceDE w:val="0"/>
        <w:autoSpaceDN w:val="0"/>
        <w:spacing w:before="0" w:after="0" w:line="328" w:lineRule="auto"/>
        <w:ind w:left="233" w:right="1404" w:firstLine="645"/>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国家级和省级文科“一流课程”、高校课程体系改革方案、高质量文科教材、课程教学案例及案例库等。</w:t>
      </w:r>
    </w:p>
    <w:p>
      <w:pPr>
        <w:widowControl w:val="0"/>
        <w:autoSpaceDE w:val="0"/>
        <w:autoSpaceDN w:val="0"/>
        <w:spacing w:before="0" w:after="0" w:line="407" w:lineRule="exact"/>
        <w:ind w:left="874" w:right="0"/>
        <w:jc w:val="left"/>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三、新文科人才培养模式改革研究与实践</w:t>
      </w:r>
    </w:p>
    <w:p>
      <w:pPr>
        <w:widowControl w:val="0"/>
        <w:numPr>
          <w:ilvl w:val="0"/>
          <w:numId w:val="1"/>
        </w:numPr>
        <w:tabs>
          <w:tab w:val="left" w:pos="1201"/>
        </w:tabs>
        <w:autoSpaceDE w:val="0"/>
        <w:autoSpaceDN w:val="0"/>
        <w:spacing w:before="141"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基础学科拔尖创新人才培养创新与实践</w:t>
      </w:r>
    </w:p>
    <w:p>
      <w:pPr>
        <w:widowControl w:val="0"/>
        <w:autoSpaceDE w:val="0"/>
        <w:autoSpaceDN w:val="0"/>
        <w:spacing w:before="152" w:after="0" w:line="328" w:lineRule="auto"/>
        <w:ind w:left="233" w:right="1238"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全面总结国家文科基础学科人才培养和科学研究基地建设经验，完善文科基础学科拔尖学生培养机制，创新人才培养模式，从学生选拔、个性化培养、一体化管理等方面探索书</w:t>
      </w:r>
      <w:r>
        <w:rPr>
          <w:rFonts w:ascii="仿宋" w:hAnsi="仿宋" w:eastAsia="仿宋" w:cs="仿宋"/>
          <w:spacing w:val="-13"/>
          <w:sz w:val="32"/>
          <w:szCs w:val="32"/>
          <w:lang w:val="zh-CN" w:eastAsia="zh-CN" w:bidi="zh-CN"/>
        </w:rPr>
        <w:t>院制、导师制、学分制等文科基础学科拔尖人才培养的实践经验。</w:t>
      </w:r>
    </w:p>
    <w:p>
      <w:pPr>
        <w:widowControl w:val="0"/>
        <w:autoSpaceDE w:val="0"/>
        <w:autoSpaceDN w:val="0"/>
        <w:spacing w:before="0" w:after="0" w:line="326" w:lineRule="auto"/>
        <w:ind w:left="233" w:right="1241" w:firstLine="643"/>
        <w:jc w:val="left"/>
        <w:rPr>
          <w:rFonts w:ascii="仿宋" w:hAnsi="仿宋" w:eastAsia="仿宋" w:cs="仿宋"/>
          <w:sz w:val="32"/>
          <w:szCs w:val="32"/>
          <w:lang w:val="zh-CN" w:eastAsia="zh-CN" w:bidi="zh-CN"/>
        </w:rPr>
      </w:pPr>
      <w:r>
        <w:rPr>
          <w:rFonts w:ascii="仿宋" w:hAnsi="仿宋" w:eastAsia="仿宋" w:cs="仿宋"/>
          <w:b/>
          <w:spacing w:val="-15"/>
          <w:sz w:val="32"/>
          <w:szCs w:val="32"/>
          <w:lang w:val="zh-CN" w:eastAsia="zh-CN" w:bidi="zh-CN"/>
        </w:rPr>
        <w:t>预期成果：</w:t>
      </w:r>
      <w:r>
        <w:rPr>
          <w:rFonts w:ascii="仿宋" w:hAnsi="仿宋" w:eastAsia="仿宋" w:cs="仿宋"/>
          <w:spacing w:val="-6"/>
          <w:sz w:val="32"/>
          <w:szCs w:val="32"/>
          <w:lang w:val="zh-CN" w:eastAsia="zh-CN" w:bidi="zh-CN"/>
        </w:rPr>
        <w:t>文科基础学科拔尖学生培养基地、人才培养模式、</w:t>
      </w:r>
      <w:r>
        <w:rPr>
          <w:rFonts w:ascii="仿宋" w:hAnsi="仿宋" w:eastAsia="仿宋" w:cs="仿宋"/>
          <w:sz w:val="32"/>
          <w:szCs w:val="32"/>
          <w:lang w:val="zh-CN" w:eastAsia="zh-CN" w:bidi="zh-CN"/>
        </w:rPr>
        <w:t>培养方案、课程体系、管理机制及典型案例等。</w:t>
      </w:r>
    </w:p>
    <w:p>
      <w:pPr>
        <w:widowControl w:val="0"/>
        <w:numPr>
          <w:ilvl w:val="0"/>
          <w:numId w:val="1"/>
        </w:numPr>
        <w:tabs>
          <w:tab w:val="left" w:pos="1201"/>
        </w:tabs>
        <w:autoSpaceDE w:val="0"/>
        <w:autoSpaceDN w:val="0"/>
        <w:spacing w:before="0" w:after="0" w:line="240" w:lineRule="auto"/>
        <w:ind w:left="1200" w:right="0" w:hanging="325"/>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政产学研协同育人机制创新与实践</w:t>
      </w:r>
    </w:p>
    <w:p>
      <w:pPr>
        <w:widowControl w:val="0"/>
        <w:autoSpaceDE w:val="0"/>
        <w:autoSpaceDN w:val="0"/>
        <w:spacing w:before="147" w:after="0" w:line="328" w:lineRule="auto"/>
        <w:ind w:left="233" w:right="1409"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调研分析各学科专业政产学研协同育人机制的现状与问题，结合国家战略和相关行业发展新需求，推动育人要素与创新资源共享互动，建立健全高校与有关部门、科研院所、行业企业协同培养新时代文科人才的新机制。</w:t>
      </w:r>
    </w:p>
    <w:p>
      <w:pPr>
        <w:widowControl w:val="0"/>
        <w:autoSpaceDE w:val="0"/>
        <w:autoSpaceDN w:val="0"/>
        <w:spacing w:before="0" w:after="0" w:line="328" w:lineRule="auto"/>
        <w:ind w:left="233" w:right="1402"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政产学研协同育人有效运行机制和模式、典型案例等。</w:t>
      </w:r>
    </w:p>
    <w:p>
      <w:pPr>
        <w:widowControl w:val="0"/>
        <w:numPr>
          <w:ilvl w:val="0"/>
          <w:numId w:val="1"/>
        </w:numPr>
        <w:tabs>
          <w:tab w:val="left" w:pos="1362"/>
        </w:tabs>
        <w:autoSpaceDE w:val="0"/>
        <w:autoSpaceDN w:val="0"/>
        <w:spacing w:before="0" w:after="0" w:line="407" w:lineRule="exact"/>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文科复合型人才培养创新与实践</w:t>
      </w:r>
    </w:p>
    <w:p>
      <w:pPr>
        <w:widowControl w:val="0"/>
        <w:autoSpaceDE w:val="0"/>
        <w:autoSpaceDN w:val="0"/>
        <w:spacing w:before="142" w:after="0" w:line="240" w:lineRule="auto"/>
        <w:ind w:left="876" w:right="0"/>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根据新技术和新产业发展趋势，促进学科交叉融</w:t>
      </w:r>
    </w:p>
    <w:p>
      <w:pPr>
        <w:spacing w:after="0"/>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328" w:lineRule="auto"/>
        <w:ind w:left="233" w:right="1401"/>
        <w:jc w:val="both"/>
        <w:rPr>
          <w:rFonts w:ascii="仿宋" w:hAnsi="仿宋" w:eastAsia="仿宋" w:cs="仿宋"/>
          <w:sz w:val="32"/>
          <w:szCs w:val="32"/>
          <w:lang w:val="zh-CN" w:eastAsia="zh-CN" w:bidi="zh-CN"/>
        </w:rPr>
      </w:pPr>
      <w:r>
        <w:rPr>
          <w:rFonts w:ascii="仿宋" w:hAnsi="仿宋" w:eastAsia="仿宋" w:cs="仿宋"/>
          <w:spacing w:val="-1"/>
          <w:sz w:val="32"/>
          <w:szCs w:val="32"/>
          <w:lang w:val="zh-CN" w:eastAsia="zh-CN" w:bidi="zh-CN"/>
        </w:rPr>
        <w:t>合和跨界整合，研究探索跨学科、跨专业的文科教育组织模式。</w:t>
      </w:r>
      <w:r>
        <w:rPr>
          <w:rFonts w:ascii="仿宋" w:hAnsi="仿宋" w:eastAsia="仿宋" w:cs="仿宋"/>
          <w:sz w:val="32"/>
          <w:szCs w:val="32"/>
          <w:lang w:val="zh-CN" w:eastAsia="zh-CN" w:bidi="zh-CN"/>
        </w:rPr>
        <w:t>调研高校主辅修学士学位、双学士学位、联合学士学位、微专业等培养项目的实施情况，深入研究书院制、学部制等复合型人才</w:t>
      </w:r>
      <w:r>
        <w:rPr>
          <w:rFonts w:ascii="仿宋" w:hAnsi="仿宋" w:eastAsia="仿宋" w:cs="仿宋"/>
          <w:spacing w:val="-1"/>
          <w:sz w:val="32"/>
          <w:szCs w:val="32"/>
          <w:lang w:val="zh-CN" w:eastAsia="zh-CN" w:bidi="zh-CN"/>
        </w:rPr>
        <w:t>培养的模式，提出有利于复合型文科人才培养的工作机制、课程</w:t>
      </w:r>
      <w:r>
        <w:rPr>
          <w:rFonts w:ascii="仿宋" w:hAnsi="仿宋" w:eastAsia="仿宋" w:cs="仿宋"/>
          <w:sz w:val="32"/>
          <w:szCs w:val="32"/>
          <w:lang w:val="zh-CN" w:eastAsia="zh-CN" w:bidi="zh-CN"/>
        </w:rPr>
        <w:t>整合方案等。</w:t>
      </w:r>
    </w:p>
    <w:p>
      <w:pPr>
        <w:widowControl w:val="0"/>
        <w:autoSpaceDE w:val="0"/>
        <w:autoSpaceDN w:val="0"/>
        <w:spacing w:before="0" w:after="0" w:line="326" w:lineRule="auto"/>
        <w:ind w:left="233" w:right="1402"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pacing w:val="-1"/>
          <w:sz w:val="32"/>
          <w:szCs w:val="32"/>
          <w:lang w:val="zh-CN" w:eastAsia="zh-CN" w:bidi="zh-CN"/>
        </w:rPr>
        <w:t>学科专业交叉的教学组织模式、管理模式及改革</w:t>
      </w:r>
      <w:r>
        <w:rPr>
          <w:rFonts w:ascii="仿宋" w:hAnsi="仿宋" w:eastAsia="仿宋" w:cs="仿宋"/>
          <w:sz w:val="32"/>
          <w:szCs w:val="32"/>
          <w:lang w:val="zh-CN" w:eastAsia="zh-CN" w:bidi="zh-CN"/>
        </w:rPr>
        <w:t>实施方案等。</w:t>
      </w:r>
    </w:p>
    <w:p>
      <w:pPr>
        <w:widowControl w:val="0"/>
        <w:numPr>
          <w:ilvl w:val="0"/>
          <w:numId w:val="1"/>
        </w:numPr>
        <w:tabs>
          <w:tab w:val="left" w:pos="1362"/>
        </w:tabs>
        <w:autoSpaceDE w:val="0"/>
        <w:autoSpaceDN w:val="0"/>
        <w:spacing w:before="0"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高素质涉外人才培养创新与实践</w:t>
      </w:r>
    </w:p>
    <w:p>
      <w:pPr>
        <w:widowControl w:val="0"/>
        <w:autoSpaceDE w:val="0"/>
        <w:autoSpaceDN w:val="0"/>
        <w:spacing w:before="147" w:after="0" w:line="328" w:lineRule="auto"/>
        <w:ind w:left="233" w:right="1238" w:firstLine="643"/>
        <w:jc w:val="left"/>
        <w:rPr>
          <w:rFonts w:ascii="仿宋" w:hAnsi="仿宋" w:eastAsia="仿宋" w:cs="仿宋"/>
          <w:sz w:val="32"/>
          <w:szCs w:val="32"/>
          <w:lang w:val="zh-CN" w:eastAsia="zh-CN" w:bidi="zh-CN"/>
        </w:rPr>
      </w:pPr>
      <w:r>
        <w:rPr>
          <w:rFonts w:ascii="仿宋" w:hAnsi="仿宋" w:eastAsia="仿宋" w:cs="仿宋"/>
          <w:b/>
          <w:spacing w:val="-6"/>
          <w:sz w:val="32"/>
          <w:szCs w:val="32"/>
          <w:lang w:val="zh-CN" w:eastAsia="zh-CN" w:bidi="zh-CN"/>
        </w:rPr>
        <w:t>立项要点：</w:t>
      </w:r>
      <w:r>
        <w:rPr>
          <w:rFonts w:ascii="仿宋" w:hAnsi="仿宋" w:eastAsia="仿宋" w:cs="仿宋"/>
          <w:spacing w:val="-12"/>
          <w:sz w:val="32"/>
          <w:szCs w:val="32"/>
          <w:lang w:val="zh-CN" w:eastAsia="zh-CN" w:bidi="zh-CN"/>
        </w:rPr>
        <w:t xml:space="preserve">主动服务中华文化“走出去”战略、“一带一路” </w:t>
      </w:r>
      <w:r>
        <w:rPr>
          <w:rFonts w:ascii="仿宋" w:hAnsi="仿宋" w:eastAsia="仿宋" w:cs="仿宋"/>
          <w:sz w:val="32"/>
          <w:szCs w:val="32"/>
          <w:lang w:val="zh-CN" w:eastAsia="zh-CN" w:bidi="zh-CN"/>
        </w:rPr>
        <w:t>建设和人类命运共同体建设，围绕提升人文素养、跨文化能力、</w:t>
      </w:r>
      <w:r>
        <w:rPr>
          <w:rFonts w:ascii="仿宋" w:hAnsi="仿宋" w:eastAsia="仿宋" w:cs="仿宋"/>
          <w:spacing w:val="-11"/>
          <w:sz w:val="32"/>
          <w:szCs w:val="32"/>
          <w:lang w:val="zh-CN" w:eastAsia="zh-CN" w:bidi="zh-CN"/>
        </w:rPr>
        <w:t>复语能力等，加强课程体系整体设计，探索“专业+外语”培养模式，培养“一精多会、一专多能”的高素质国际化复合型人才。</w:t>
      </w:r>
    </w:p>
    <w:p>
      <w:pPr>
        <w:widowControl w:val="0"/>
        <w:autoSpaceDE w:val="0"/>
        <w:autoSpaceDN w:val="0"/>
        <w:spacing w:before="0" w:after="0" w:line="326" w:lineRule="auto"/>
        <w:ind w:left="233" w:right="1402"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专业建设方案、人才培养模式总结、高质量课程与教材等。</w:t>
      </w:r>
    </w:p>
    <w:p>
      <w:pPr>
        <w:widowControl w:val="0"/>
        <w:numPr>
          <w:ilvl w:val="0"/>
          <w:numId w:val="1"/>
        </w:numPr>
        <w:tabs>
          <w:tab w:val="left" w:pos="1362"/>
        </w:tabs>
        <w:autoSpaceDE w:val="0"/>
        <w:autoSpaceDN w:val="0"/>
        <w:spacing w:before="0"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新文科创新创业教育与实践</w:t>
      </w:r>
    </w:p>
    <w:p>
      <w:pPr>
        <w:widowControl w:val="0"/>
        <w:autoSpaceDE w:val="0"/>
        <w:autoSpaceDN w:val="0"/>
        <w:spacing w:before="147" w:after="0" w:line="328"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面向全体文科学生，探索完善文科创新创业教育体系，推进创新创业教育与专业教育深度融合，开发文科特色创新创业教育课程，推进分类培养和特色化培养模式改革。推动建设产教融合创新创业教育实践基地、专兼职创新创业师资队伍， 推动以“敢闯会创”为核心的人才培养范式改革，促进学生创新创业能力和综合素养提升。</w:t>
      </w:r>
    </w:p>
    <w:p>
      <w:pPr>
        <w:widowControl w:val="0"/>
        <w:autoSpaceDE w:val="0"/>
        <w:autoSpaceDN w:val="0"/>
        <w:spacing w:before="0" w:after="0" w:line="326" w:lineRule="auto"/>
        <w:ind w:left="233" w:right="1409"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文科创新创业教育实践体系和典型案例、创新创业教育实践平台等。</w:t>
      </w:r>
    </w:p>
    <w:p>
      <w:pPr>
        <w:spacing w:after="0" w:line="326" w:lineRule="auto"/>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240" w:lineRule="auto"/>
        <w:ind w:left="874" w:right="0"/>
        <w:jc w:val="left"/>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四、重点领域分类推进研究与实践</w:t>
      </w:r>
    </w:p>
    <w:p>
      <w:pPr>
        <w:widowControl w:val="0"/>
        <w:numPr>
          <w:ilvl w:val="0"/>
          <w:numId w:val="1"/>
        </w:numPr>
        <w:tabs>
          <w:tab w:val="left" w:pos="1362"/>
        </w:tabs>
        <w:autoSpaceDE w:val="0"/>
        <w:autoSpaceDN w:val="0"/>
        <w:spacing w:before="149"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文史哲领域新文科建设实践</w:t>
      </w:r>
    </w:p>
    <w:p>
      <w:pPr>
        <w:widowControl w:val="0"/>
        <w:autoSpaceDE w:val="0"/>
        <w:autoSpaceDN w:val="0"/>
        <w:spacing w:before="151" w:after="0" w:line="328" w:lineRule="auto"/>
        <w:ind w:left="233" w:right="1238"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夯实基础学科，推进文史哲之间、文史哲与其他</w:t>
      </w:r>
      <w:r>
        <w:rPr>
          <w:rFonts w:ascii="仿宋" w:hAnsi="仿宋" w:eastAsia="仿宋" w:cs="仿宋"/>
          <w:spacing w:val="-24"/>
          <w:w w:val="99"/>
          <w:sz w:val="32"/>
          <w:szCs w:val="32"/>
          <w:lang w:val="zh-CN" w:eastAsia="zh-CN" w:bidi="zh-CN"/>
        </w:rPr>
        <w:t>学科的交叉融合，打破原有以固化学科专业培养人的“传统模式”，</w:t>
      </w:r>
      <w:r>
        <w:rPr>
          <w:rFonts w:ascii="仿宋" w:hAnsi="仿宋" w:eastAsia="仿宋" w:cs="仿宋"/>
          <w:spacing w:val="-19"/>
          <w:sz w:val="32"/>
          <w:szCs w:val="32"/>
          <w:lang w:val="zh-CN" w:eastAsia="zh-CN" w:bidi="zh-CN"/>
        </w:rPr>
        <w:t>探索书院制、导师制、学分制三者交叉融通的拔尖人才培养的“创新模式”，加快培养既继承中华传统优秀文化又弘扬时代精神、既立足中国又面向世界的新时代文史哲人才。</w:t>
      </w:r>
    </w:p>
    <w:p>
      <w:pPr>
        <w:widowControl w:val="0"/>
        <w:autoSpaceDE w:val="0"/>
        <w:autoSpaceDN w:val="0"/>
        <w:spacing w:before="0" w:after="0" w:line="328" w:lineRule="auto"/>
        <w:ind w:left="233" w:right="1409"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专业建设方案、人才培养方案、课程体系、跨学科课程建设等。</w:t>
      </w:r>
    </w:p>
    <w:p>
      <w:pPr>
        <w:widowControl w:val="0"/>
        <w:numPr>
          <w:ilvl w:val="0"/>
          <w:numId w:val="1"/>
        </w:numPr>
        <w:tabs>
          <w:tab w:val="left" w:pos="1362"/>
        </w:tabs>
        <w:autoSpaceDE w:val="0"/>
        <w:autoSpaceDN w:val="0"/>
        <w:spacing w:before="0" w:after="0" w:line="407" w:lineRule="exact"/>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经管法领域新文科建设实践</w:t>
      </w:r>
    </w:p>
    <w:p>
      <w:pPr>
        <w:widowControl w:val="0"/>
        <w:autoSpaceDE w:val="0"/>
        <w:autoSpaceDN w:val="0"/>
        <w:spacing w:before="140" w:after="0" w:line="328" w:lineRule="auto"/>
        <w:ind w:left="233" w:right="1238"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适应新科技革命所带来的新经济业态、新生活方式、新运营模式的需要，综合运用大数据、人工智能等信息技术</w:t>
      </w:r>
      <w:r>
        <w:rPr>
          <w:rFonts w:ascii="仿宋" w:hAnsi="仿宋" w:eastAsia="仿宋" w:cs="仿宋"/>
          <w:spacing w:val="-10"/>
          <w:sz w:val="32"/>
          <w:szCs w:val="32"/>
          <w:lang w:val="zh-CN" w:eastAsia="zh-CN" w:bidi="zh-CN"/>
        </w:rPr>
        <w:t>对经管法专业在人才培养理念、模式、内容及手段进行升级改造。</w:t>
      </w:r>
      <w:r>
        <w:rPr>
          <w:rFonts w:ascii="仿宋" w:hAnsi="仿宋" w:eastAsia="仿宋" w:cs="仿宋"/>
          <w:sz w:val="32"/>
          <w:szCs w:val="32"/>
          <w:lang w:val="zh-CN" w:eastAsia="zh-CN" w:bidi="zh-CN"/>
        </w:rPr>
        <w:t>挖掘中国改革开放和现代化建设的伟大实践，构建中国特色社会科学理论体系，建设优质教学资源和内容，坚持以提升学生解决实际问题能力为导向，强化课程体系的实践性和应用，加快培养具有强烈本土化意识和国际视野的经管法人才。加大学科交叉融合和跨界整合的力度，培育新的学科专业增长点。</w:t>
      </w:r>
    </w:p>
    <w:p>
      <w:pPr>
        <w:widowControl w:val="0"/>
        <w:autoSpaceDE w:val="0"/>
        <w:autoSpaceDN w:val="0"/>
        <w:spacing w:before="0" w:after="0" w:line="397" w:lineRule="exact"/>
        <w:ind w:left="876" w:right="0"/>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专业建设方案、人才培养方案、课程体系、跨学</w:t>
      </w:r>
    </w:p>
    <w:p>
      <w:pPr>
        <w:widowControl w:val="0"/>
        <w:autoSpaceDE w:val="0"/>
        <w:autoSpaceDN w:val="0"/>
        <w:spacing w:before="149" w:after="0" w:line="240" w:lineRule="auto"/>
        <w:ind w:left="233" w:right="0"/>
        <w:jc w:val="left"/>
        <w:rPr>
          <w:rFonts w:ascii="仿宋" w:hAnsi="仿宋" w:eastAsia="仿宋" w:cs="仿宋"/>
          <w:sz w:val="32"/>
          <w:szCs w:val="32"/>
          <w:lang w:val="zh-CN" w:eastAsia="zh-CN" w:bidi="zh-CN"/>
        </w:rPr>
      </w:pPr>
      <w:r>
        <w:rPr>
          <w:rFonts w:ascii="仿宋" w:hAnsi="仿宋" w:eastAsia="仿宋" w:cs="仿宋"/>
          <w:sz w:val="32"/>
          <w:szCs w:val="32"/>
          <w:lang w:val="zh-CN" w:eastAsia="zh-CN" w:bidi="zh-CN"/>
        </w:rPr>
        <w:t>科课程建设、经管法本土化教材等。</w:t>
      </w:r>
    </w:p>
    <w:p>
      <w:pPr>
        <w:widowControl w:val="0"/>
        <w:numPr>
          <w:ilvl w:val="0"/>
          <w:numId w:val="1"/>
        </w:numPr>
        <w:tabs>
          <w:tab w:val="left" w:pos="1362"/>
        </w:tabs>
        <w:autoSpaceDE w:val="0"/>
        <w:autoSpaceDN w:val="0"/>
        <w:spacing w:before="151"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教育学领域新文科建设实践</w:t>
      </w:r>
    </w:p>
    <w:p>
      <w:pPr>
        <w:widowControl w:val="0"/>
        <w:autoSpaceDE w:val="0"/>
        <w:autoSpaceDN w:val="0"/>
        <w:spacing w:before="150" w:after="0" w:line="326" w:lineRule="auto"/>
        <w:ind w:left="233" w:right="1409"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从中国教育改革发展实践中挖掘新材料、发现新问题、提出新观点，加快构建中国特色社会主义教育理论体系，</w:t>
      </w:r>
    </w:p>
    <w:p>
      <w:pPr>
        <w:spacing w:after="0" w:line="326" w:lineRule="auto"/>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328" w:lineRule="auto"/>
        <w:ind w:left="233" w:right="1421"/>
        <w:jc w:val="both"/>
        <w:rPr>
          <w:rFonts w:ascii="仿宋" w:hAnsi="仿宋" w:eastAsia="仿宋" w:cs="仿宋"/>
          <w:sz w:val="32"/>
          <w:szCs w:val="32"/>
          <w:lang w:val="zh-CN" w:eastAsia="zh-CN" w:bidi="zh-CN"/>
        </w:rPr>
      </w:pPr>
      <w:r>
        <w:rPr>
          <w:rFonts w:ascii="仿宋" w:hAnsi="仿宋" w:eastAsia="仿宋" w:cs="仿宋"/>
          <w:sz w:val="32"/>
          <w:szCs w:val="32"/>
          <w:lang w:val="zh-CN" w:eastAsia="zh-CN" w:bidi="zh-CN"/>
        </w:rPr>
        <w:t>将教育理论有机融入教育教学实践，提升教育理论对教育实践困境和人才培养难题的指导性，更好服务教育现代化和教育强国建设。坚持问题导向，积极应对信息时代新兴技术对高校教育教学带来的挑战，围绕促进大学生自主学习、深度学习，深入开展教学方法、教育技术手段等方面的教学改革探索，为其他学科专业教育教学提供教学理论和方法支撑。面向教育教学发展新趋势， 研究教师必备的能力素质模型，构建课程体系、教材体系和教学体系。服务教育强国战略，面向区域基础教育师资要求，探索高校与地方政府、中小学协同育人的有效机制。</w:t>
      </w:r>
    </w:p>
    <w:p>
      <w:pPr>
        <w:widowControl w:val="0"/>
        <w:autoSpaceDE w:val="0"/>
        <w:autoSpaceDN w:val="0"/>
        <w:spacing w:before="0" w:after="0" w:line="395" w:lineRule="exact"/>
        <w:ind w:left="876" w:right="0"/>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中国特色社会主义教育理论体系研究报告、专业</w:t>
      </w:r>
    </w:p>
    <w:p>
      <w:pPr>
        <w:widowControl w:val="0"/>
        <w:autoSpaceDE w:val="0"/>
        <w:autoSpaceDN w:val="0"/>
        <w:spacing w:before="149" w:after="0" w:line="240" w:lineRule="auto"/>
        <w:ind w:left="217" w:right="3963"/>
        <w:jc w:val="center"/>
        <w:rPr>
          <w:rFonts w:ascii="仿宋" w:hAnsi="仿宋" w:eastAsia="仿宋" w:cs="仿宋"/>
          <w:sz w:val="32"/>
          <w:szCs w:val="32"/>
          <w:lang w:val="zh-CN" w:eastAsia="zh-CN" w:bidi="zh-CN"/>
        </w:rPr>
      </w:pPr>
      <w:r>
        <w:rPr>
          <w:rFonts w:ascii="仿宋" w:hAnsi="仿宋" w:eastAsia="仿宋" w:cs="仿宋"/>
          <w:sz w:val="32"/>
          <w:szCs w:val="32"/>
          <w:lang w:val="zh-CN" w:eastAsia="zh-CN" w:bidi="zh-CN"/>
        </w:rPr>
        <w:t>建设方案、教学方法和教学模式改革案例等。</w:t>
      </w:r>
    </w:p>
    <w:p>
      <w:pPr>
        <w:widowControl w:val="0"/>
        <w:numPr>
          <w:ilvl w:val="0"/>
          <w:numId w:val="1"/>
        </w:numPr>
        <w:tabs>
          <w:tab w:val="left" w:pos="1362"/>
        </w:tabs>
        <w:autoSpaceDE w:val="0"/>
        <w:autoSpaceDN w:val="0"/>
        <w:spacing w:before="151"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艺术学领域新文科建设实践</w:t>
      </w:r>
    </w:p>
    <w:p>
      <w:pPr>
        <w:widowControl w:val="0"/>
        <w:autoSpaceDE w:val="0"/>
        <w:autoSpaceDN w:val="0"/>
        <w:spacing w:before="150" w:after="0" w:line="328" w:lineRule="auto"/>
        <w:ind w:left="233" w:right="1409"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深入分析应对技术变革和产业革命对艺术教育面临的挑战，总结艺术教育与科技有机融合的典型经验。调研分析行业市场需求，特别关注文化科技融合、文化创业等产业新需求新变化，预测相关产业人才需求，优化艺术门类专业结构和人才培养体系。整体设计、整合优化艺术学课程与教材体系，开展多学科交叉融合的专业课程体系建设研究。</w:t>
      </w:r>
    </w:p>
    <w:p>
      <w:pPr>
        <w:widowControl w:val="0"/>
        <w:autoSpaceDE w:val="0"/>
        <w:autoSpaceDN w:val="0"/>
        <w:spacing w:before="0" w:after="0" w:line="326" w:lineRule="auto"/>
        <w:ind w:left="233" w:right="1409"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体现新文科要求的艺术类公共基础课程、核心专业课程群、跨学科交叉系列课程、新形态教材等。</w:t>
      </w:r>
    </w:p>
    <w:p>
      <w:pPr>
        <w:widowControl w:val="0"/>
        <w:autoSpaceDE w:val="0"/>
        <w:autoSpaceDN w:val="0"/>
        <w:spacing w:before="0" w:after="0" w:line="240" w:lineRule="auto"/>
        <w:ind w:left="217" w:right="3960"/>
        <w:jc w:val="center"/>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五、新文科师资队伍建设研究与实践</w:t>
      </w:r>
    </w:p>
    <w:p>
      <w:pPr>
        <w:widowControl w:val="0"/>
        <w:numPr>
          <w:ilvl w:val="0"/>
          <w:numId w:val="1"/>
        </w:numPr>
        <w:tabs>
          <w:tab w:val="left" w:pos="1362"/>
        </w:tabs>
        <w:autoSpaceDE w:val="0"/>
        <w:autoSpaceDN w:val="0"/>
        <w:spacing w:before="144"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新文科教师专业发展探索与实践</w:t>
      </w:r>
    </w:p>
    <w:p>
      <w:pPr>
        <w:widowControl w:val="0"/>
        <w:autoSpaceDE w:val="0"/>
        <w:autoSpaceDN w:val="0"/>
        <w:spacing w:before="149" w:after="0" w:line="240" w:lineRule="auto"/>
        <w:ind w:left="876" w:right="0"/>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结合新经济新产业的发展要求，立足新文科人才</w:t>
      </w:r>
    </w:p>
    <w:p>
      <w:pPr>
        <w:spacing w:after="0"/>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328" w:lineRule="auto"/>
        <w:ind w:left="233" w:right="1401"/>
        <w:jc w:val="both"/>
        <w:rPr>
          <w:rFonts w:ascii="仿宋" w:hAnsi="仿宋" w:eastAsia="仿宋" w:cs="仿宋"/>
          <w:sz w:val="32"/>
          <w:szCs w:val="32"/>
          <w:lang w:val="zh-CN" w:eastAsia="zh-CN" w:bidi="zh-CN"/>
        </w:rPr>
      </w:pPr>
      <w:r>
        <w:rPr>
          <w:rFonts w:ascii="仿宋" w:hAnsi="仿宋" w:eastAsia="仿宋" w:cs="仿宋"/>
          <w:sz w:val="32"/>
          <w:szCs w:val="32"/>
          <w:lang w:val="zh-CN" w:eastAsia="zh-CN" w:bidi="zh-CN"/>
        </w:rPr>
        <w:t>培养目标，突出教师的行业产业实践背景和经历要求，探索构建新文科师资能力标准体系。围绕高水平师资队伍建设，研究设计教师培训项目，探索灵活有效的培训方法，构建多层次教师培训体系。探索引导教师开展新文科教育教学改革，开展跨学科项目研究、跨学科专业课程建设的有效机制。</w:t>
      </w:r>
    </w:p>
    <w:p>
      <w:pPr>
        <w:widowControl w:val="0"/>
        <w:autoSpaceDE w:val="0"/>
        <w:autoSpaceDN w:val="0"/>
        <w:spacing w:before="0" w:after="0" w:line="326"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各学科专业文科教师实践能力标准、多样化的高校教师与行业人才双向交流项目、教师参与跨学科研究和教学资源建设的机制等。</w:t>
      </w:r>
    </w:p>
    <w:p>
      <w:pPr>
        <w:widowControl w:val="0"/>
        <w:numPr>
          <w:ilvl w:val="0"/>
          <w:numId w:val="1"/>
        </w:numPr>
        <w:tabs>
          <w:tab w:val="left" w:pos="1362"/>
        </w:tabs>
        <w:autoSpaceDE w:val="0"/>
        <w:autoSpaceDN w:val="0"/>
        <w:spacing w:before="0"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融合现代信息技术的教师教学方法创新与实践</w:t>
      </w:r>
    </w:p>
    <w:p>
      <w:pPr>
        <w:widowControl w:val="0"/>
        <w:autoSpaceDE w:val="0"/>
        <w:autoSpaceDN w:val="0"/>
        <w:spacing w:before="148" w:after="0" w:line="328"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推进信息技术与教育教学深度融合，探索人工智能、虚拟现实、数据挖掘等新技术促进教与学的方法路径，探究智慧环境下新文科专业的课堂教学改革模式。以学生为中心，立足促进学生有效学习，推进新兴技术在文科教育教学中的深度应用，探索在线教学、混合式教学有效模式，创新课内课外师生互动机制。</w:t>
      </w:r>
    </w:p>
    <w:p>
      <w:pPr>
        <w:widowControl w:val="0"/>
        <w:autoSpaceDE w:val="0"/>
        <w:autoSpaceDN w:val="0"/>
        <w:spacing w:before="0" w:after="0" w:line="326" w:lineRule="auto"/>
        <w:ind w:left="233" w:right="1402"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基于现代信息技术的教学模式、教学方法、学习方式、考核方式、教学制度改革创新的新方案和典型案例。</w:t>
      </w:r>
    </w:p>
    <w:p>
      <w:pPr>
        <w:widowControl w:val="0"/>
        <w:numPr>
          <w:ilvl w:val="0"/>
          <w:numId w:val="1"/>
        </w:numPr>
        <w:tabs>
          <w:tab w:val="left" w:pos="1362"/>
        </w:tabs>
        <w:autoSpaceDE w:val="0"/>
        <w:autoSpaceDN w:val="0"/>
        <w:spacing w:before="0"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教师教学发展示范中心建设</w:t>
      </w:r>
    </w:p>
    <w:p>
      <w:pPr>
        <w:widowControl w:val="0"/>
        <w:autoSpaceDE w:val="0"/>
        <w:autoSpaceDN w:val="0"/>
        <w:spacing w:before="145" w:after="0" w:line="328"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深入调研人文学科教师教学发展需求，分析教师教学发展中心建设现状与问题，完善文科教师教学发展机制，研究制定文科教师教学发展中心建设规范与评价机制，加强教师教学发展中心建设，推进教师培训、教学咨询、教师职业规划等工作常态化、制度化，促进教师教学与职业的协同发展。</w:t>
      </w:r>
    </w:p>
    <w:p>
      <w:pPr>
        <w:spacing w:after="0" w:line="328" w:lineRule="auto"/>
        <w:jc w:val="both"/>
        <w:sectPr>
          <w:pgSz w:w="11860" w:h="16790"/>
          <w:pgMar w:top="1600" w:right="0" w:bottom="1660" w:left="1240" w:header="0" w:footer="1473" w:gutter="0"/>
          <w:cols w:space="720" w:num="1"/>
        </w:sectPr>
      </w:pPr>
    </w:p>
    <w:p>
      <w:pPr>
        <w:widowControl w:val="0"/>
        <w:autoSpaceDE w:val="0"/>
        <w:autoSpaceDN w:val="0"/>
        <w:spacing w:before="0" w:after="0" w:line="240" w:lineRule="auto"/>
        <w:ind w:left="0" w:right="0"/>
        <w:jc w:val="left"/>
        <w:rPr>
          <w:rFonts w:ascii="仿宋" w:hAnsi="仿宋" w:eastAsia="仿宋" w:cs="仿宋"/>
          <w:sz w:val="20"/>
          <w:szCs w:val="32"/>
          <w:lang w:val="zh-CN" w:eastAsia="zh-CN" w:bidi="zh-CN"/>
        </w:rPr>
      </w:pPr>
    </w:p>
    <w:p>
      <w:pPr>
        <w:widowControl w:val="0"/>
        <w:autoSpaceDE w:val="0"/>
        <w:autoSpaceDN w:val="0"/>
        <w:spacing w:before="7" w:after="0" w:line="240" w:lineRule="auto"/>
        <w:ind w:left="0" w:right="0"/>
        <w:jc w:val="left"/>
        <w:rPr>
          <w:rFonts w:ascii="仿宋" w:hAnsi="仿宋" w:eastAsia="仿宋" w:cs="仿宋"/>
          <w:sz w:val="15"/>
          <w:szCs w:val="32"/>
          <w:lang w:val="zh-CN" w:eastAsia="zh-CN" w:bidi="zh-CN"/>
        </w:rPr>
      </w:pPr>
    </w:p>
    <w:p>
      <w:pPr>
        <w:widowControl w:val="0"/>
        <w:autoSpaceDE w:val="0"/>
        <w:autoSpaceDN w:val="0"/>
        <w:spacing w:before="55" w:after="0" w:line="326" w:lineRule="auto"/>
        <w:ind w:left="233" w:right="1402"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可推广示范的教师教学发展中心管理模式和运行机制，文科教育教师教学发展示范中心，培训资源和案例等。</w:t>
      </w:r>
    </w:p>
    <w:p>
      <w:pPr>
        <w:widowControl w:val="0"/>
        <w:autoSpaceDE w:val="0"/>
        <w:autoSpaceDN w:val="0"/>
        <w:spacing w:before="5" w:after="0" w:line="240" w:lineRule="auto"/>
        <w:ind w:left="874" w:right="0"/>
        <w:jc w:val="left"/>
        <w:rPr>
          <w:rFonts w:hint="eastAsia" w:ascii="黑体" w:hAnsi="仿宋" w:eastAsia="黑体" w:cs="仿宋"/>
          <w:sz w:val="32"/>
          <w:szCs w:val="32"/>
          <w:lang w:val="zh-CN" w:eastAsia="zh-CN" w:bidi="zh-CN"/>
        </w:rPr>
      </w:pPr>
      <w:r>
        <w:rPr>
          <w:rFonts w:hint="eastAsia" w:ascii="黑体" w:hAnsi="仿宋" w:eastAsia="黑体" w:cs="仿宋"/>
          <w:sz w:val="32"/>
          <w:szCs w:val="32"/>
          <w:lang w:val="zh-CN" w:eastAsia="zh-CN" w:bidi="zh-CN"/>
        </w:rPr>
        <w:t>六、新文科特色质量文化建设研究与实践</w:t>
      </w:r>
    </w:p>
    <w:p>
      <w:pPr>
        <w:widowControl w:val="0"/>
        <w:numPr>
          <w:ilvl w:val="0"/>
          <w:numId w:val="1"/>
        </w:numPr>
        <w:tabs>
          <w:tab w:val="left" w:pos="1362"/>
        </w:tabs>
        <w:autoSpaceDE w:val="0"/>
        <w:autoSpaceDN w:val="0"/>
        <w:spacing w:before="149"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以质量提升为核心的管理体制机制建设</w:t>
      </w:r>
    </w:p>
    <w:p>
      <w:pPr>
        <w:widowControl w:val="0"/>
        <w:autoSpaceDE w:val="0"/>
        <w:autoSpaceDN w:val="0"/>
        <w:spacing w:before="150" w:after="0" w:line="328" w:lineRule="auto"/>
        <w:ind w:left="233" w:right="1238"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开展富有文科教育特色、体现“以本为本”“四个回归”的管理体制机制研究，建立以提升教育质量为核心、以</w:t>
      </w:r>
      <w:r>
        <w:rPr>
          <w:rFonts w:ascii="仿宋" w:hAnsi="仿宋" w:eastAsia="仿宋" w:cs="仿宋"/>
          <w:spacing w:val="-8"/>
          <w:sz w:val="32"/>
          <w:szCs w:val="32"/>
          <w:lang w:val="zh-CN" w:eastAsia="zh-CN" w:bidi="zh-CN"/>
        </w:rPr>
        <w:t>激励教师投入人才培养为重点的管理制度体系，积极推进学分制、</w:t>
      </w:r>
      <w:r>
        <w:rPr>
          <w:rFonts w:ascii="仿宋" w:hAnsi="仿宋" w:eastAsia="仿宋" w:cs="仿宋"/>
          <w:sz w:val="32"/>
          <w:szCs w:val="32"/>
          <w:lang w:val="zh-CN" w:eastAsia="zh-CN" w:bidi="zh-CN"/>
        </w:rPr>
        <w:t>弹性学制，探索书院制等改革，全面提高文科人才培养能力。</w:t>
      </w:r>
    </w:p>
    <w:p>
      <w:pPr>
        <w:widowControl w:val="0"/>
        <w:autoSpaceDE w:val="0"/>
        <w:autoSpaceDN w:val="0"/>
        <w:spacing w:before="0" w:after="0" w:line="326"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教师投入、学风建设、基本条件等方面与新文科人才培养质量提升相适应的新制度新机制，高校管理体制机制改革方案、政策建议等。</w:t>
      </w:r>
    </w:p>
    <w:p>
      <w:pPr>
        <w:widowControl w:val="0"/>
        <w:numPr>
          <w:ilvl w:val="0"/>
          <w:numId w:val="1"/>
        </w:numPr>
        <w:tabs>
          <w:tab w:val="left" w:pos="1362"/>
        </w:tabs>
        <w:autoSpaceDE w:val="0"/>
        <w:autoSpaceDN w:val="0"/>
        <w:spacing w:before="2"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高校内部教育质量保障体系建设</w:t>
      </w:r>
    </w:p>
    <w:p>
      <w:pPr>
        <w:widowControl w:val="0"/>
        <w:autoSpaceDE w:val="0"/>
        <w:autoSpaceDN w:val="0"/>
        <w:spacing w:before="149" w:after="0" w:line="328" w:lineRule="auto"/>
        <w:ind w:left="233" w:right="1401" w:firstLine="643"/>
        <w:jc w:val="both"/>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研究面向培养目标达成的定量和定性评价方法， 建立校院两级质量保障机制，完善教学环节质量标准、教学反馈和评估机制，健全内部评价与外部评价相结合的评价体系，构建教师教学、学生学业、质量监测“三位一体”的质量保障体系， 形成自觉、自省、自律、自查、自纠的文科教育质量文化。</w:t>
      </w:r>
    </w:p>
    <w:p>
      <w:pPr>
        <w:widowControl w:val="0"/>
        <w:autoSpaceDE w:val="0"/>
        <w:autoSpaceDN w:val="0"/>
        <w:spacing w:before="0" w:after="0" w:line="326" w:lineRule="auto"/>
        <w:ind w:left="233" w:right="1238" w:firstLine="643"/>
        <w:jc w:val="left"/>
        <w:rPr>
          <w:rFonts w:ascii="仿宋" w:hAnsi="仿宋" w:eastAsia="仿宋" w:cs="仿宋"/>
          <w:sz w:val="32"/>
          <w:szCs w:val="32"/>
          <w:lang w:val="zh-CN" w:eastAsia="zh-CN" w:bidi="zh-CN"/>
        </w:rPr>
      </w:pPr>
      <w:r>
        <w:rPr>
          <w:rFonts w:ascii="仿宋" w:hAnsi="仿宋" w:eastAsia="仿宋" w:cs="仿宋"/>
          <w:b/>
          <w:sz w:val="32"/>
          <w:szCs w:val="32"/>
          <w:lang w:val="zh-CN" w:eastAsia="zh-CN" w:bidi="zh-CN"/>
        </w:rPr>
        <w:t>预期成果：</w:t>
      </w:r>
      <w:r>
        <w:rPr>
          <w:rFonts w:ascii="仿宋" w:hAnsi="仿宋" w:eastAsia="仿宋" w:cs="仿宋"/>
          <w:sz w:val="32"/>
          <w:szCs w:val="32"/>
          <w:lang w:val="zh-CN" w:eastAsia="zh-CN" w:bidi="zh-CN"/>
        </w:rPr>
        <w:t>高校内部全方位的教育质量保障、评估、反馈和</w:t>
      </w:r>
      <w:r>
        <w:rPr>
          <w:rFonts w:ascii="仿宋" w:hAnsi="仿宋" w:eastAsia="仿宋" w:cs="仿宋"/>
          <w:spacing w:val="-13"/>
          <w:sz w:val="32"/>
          <w:szCs w:val="32"/>
          <w:lang w:val="zh-CN" w:eastAsia="zh-CN" w:bidi="zh-CN"/>
        </w:rPr>
        <w:t>改进机制，新文科人才培养质量评价办法，研究报告、制度文件、</w:t>
      </w:r>
      <w:r>
        <w:rPr>
          <w:rFonts w:ascii="仿宋" w:hAnsi="仿宋" w:eastAsia="仿宋" w:cs="仿宋"/>
          <w:sz w:val="32"/>
          <w:szCs w:val="32"/>
          <w:lang w:val="zh-CN" w:eastAsia="zh-CN" w:bidi="zh-CN"/>
        </w:rPr>
        <w:t>实践案例等。</w:t>
      </w:r>
    </w:p>
    <w:p>
      <w:pPr>
        <w:widowControl w:val="0"/>
        <w:numPr>
          <w:ilvl w:val="0"/>
          <w:numId w:val="1"/>
        </w:numPr>
        <w:tabs>
          <w:tab w:val="left" w:pos="1362"/>
        </w:tabs>
        <w:autoSpaceDE w:val="0"/>
        <w:autoSpaceDN w:val="0"/>
        <w:spacing w:before="0" w:after="0" w:line="240" w:lineRule="auto"/>
        <w:ind w:left="1361" w:right="0" w:hanging="486"/>
        <w:jc w:val="left"/>
        <w:outlineLvl w:val="2"/>
        <w:rPr>
          <w:rFonts w:ascii="楷体" w:hAnsi="楷体" w:eastAsia="楷体" w:cs="楷体"/>
          <w:b/>
          <w:bCs/>
          <w:sz w:val="32"/>
          <w:szCs w:val="32"/>
          <w:lang w:val="zh-CN" w:eastAsia="zh-CN" w:bidi="zh-CN"/>
        </w:rPr>
      </w:pPr>
      <w:r>
        <w:rPr>
          <w:rFonts w:ascii="楷体" w:hAnsi="楷体" w:eastAsia="楷体" w:cs="楷体"/>
          <w:b/>
          <w:bCs/>
          <w:sz w:val="32"/>
          <w:szCs w:val="32"/>
          <w:lang w:val="zh-CN" w:eastAsia="zh-CN" w:bidi="zh-CN"/>
        </w:rPr>
        <w:t>面向新文科的文科专业三级认证体系构建</w:t>
      </w:r>
    </w:p>
    <w:p>
      <w:pPr>
        <w:widowControl w:val="0"/>
        <w:autoSpaceDE w:val="0"/>
        <w:autoSpaceDN w:val="0"/>
        <w:spacing w:before="149" w:after="0" w:line="326" w:lineRule="auto"/>
        <w:ind w:left="233" w:right="1401" w:firstLine="643"/>
        <w:jc w:val="left"/>
        <w:rPr>
          <w:rFonts w:hint="eastAsia" w:ascii="仿宋" w:hAnsi="仿宋" w:eastAsia="仿宋" w:cs="仿宋"/>
          <w:sz w:val="32"/>
          <w:szCs w:val="32"/>
          <w:lang w:val="zh-CN" w:eastAsia="zh-CN" w:bidi="zh-CN"/>
        </w:rPr>
      </w:pPr>
      <w:r>
        <w:rPr>
          <w:rFonts w:ascii="仿宋" w:hAnsi="仿宋" w:eastAsia="仿宋" w:cs="仿宋"/>
          <w:b/>
          <w:sz w:val="32"/>
          <w:szCs w:val="32"/>
          <w:lang w:val="zh-CN" w:eastAsia="zh-CN" w:bidi="zh-CN"/>
        </w:rPr>
        <w:t>立项要点：</w:t>
      </w:r>
      <w:r>
        <w:rPr>
          <w:rFonts w:ascii="仿宋" w:hAnsi="仿宋" w:eastAsia="仿宋" w:cs="仿宋"/>
          <w:sz w:val="32"/>
          <w:szCs w:val="32"/>
          <w:lang w:val="zh-CN" w:eastAsia="zh-CN" w:bidi="zh-CN"/>
        </w:rPr>
        <w:t>坚持学生中心、产出导向、持续改进理念，在国家三级专业认证的框架下，按照“一级保合格、二级上水平、三</w:t>
      </w:r>
      <w:r>
        <w:rPr>
          <w:rFonts w:hint="eastAsia" w:ascii="仿宋" w:hAnsi="仿宋" w:eastAsia="仿宋" w:cs="仿宋"/>
          <w:sz w:val="32"/>
          <w:szCs w:val="32"/>
          <w:lang w:val="zh-CN" w:eastAsia="zh-CN" w:bidi="zh-CN"/>
        </w:rPr>
        <w:t>级追卓越”的要求，研究制定人文社科类专业三级认证指南，构建基于专业办学基本状态监测的第一级认证、基于专业教学质量提升的第二级认证、基于专业教学质量卓越的第三级认证的标准体系，健全完善认证办法和程序，推动高校合理定位、规范办学、特色发展、追求卓越。</w:t>
      </w:r>
    </w:p>
    <w:p>
      <w:pPr>
        <w:keepNext w:val="0"/>
        <w:keepLines w:val="0"/>
        <w:pageBreakBefore w:val="0"/>
        <w:widowControl w:val="0"/>
        <w:kinsoku/>
        <w:wordWrap/>
        <w:overflowPunct/>
        <w:topLinePunct w:val="0"/>
        <w:autoSpaceDE w:val="0"/>
        <w:autoSpaceDN w:val="0"/>
        <w:bidi w:val="0"/>
        <w:adjustRightInd/>
        <w:snapToGrid/>
        <w:spacing w:before="0" w:after="0" w:line="327" w:lineRule="auto"/>
        <w:ind w:left="232" w:right="1400" w:firstLine="641"/>
        <w:jc w:val="left"/>
        <w:textAlignment w:val="auto"/>
        <w:rPr>
          <w:rFonts w:hint="eastAsia" w:ascii="仿宋" w:hAnsi="仿宋" w:eastAsia="仿宋" w:cs="仿宋"/>
          <w:sz w:val="32"/>
          <w:szCs w:val="32"/>
          <w:lang w:val="zh-CN" w:eastAsia="zh-CN" w:bidi="zh-CN"/>
        </w:rPr>
        <w:sectPr>
          <w:pgSz w:w="11860" w:h="16790"/>
          <w:pgMar w:top="1600" w:right="0" w:bottom="1660" w:left="1240" w:header="0" w:footer="1473" w:gutter="0"/>
          <w:cols w:space="720" w:num="1"/>
        </w:sectPr>
      </w:pPr>
      <w:r>
        <w:rPr>
          <w:rFonts w:hint="eastAsia" w:ascii="仿宋" w:hAnsi="仿宋" w:eastAsia="仿宋" w:cs="仿宋"/>
          <w:b/>
          <w:bCs/>
          <w:sz w:val="32"/>
          <w:szCs w:val="32"/>
          <w:lang w:val="zh-CN" w:eastAsia="zh-CN" w:bidi="zh-CN"/>
        </w:rPr>
        <w:t>预期成果：</w:t>
      </w:r>
      <w:r>
        <w:rPr>
          <w:rFonts w:hint="eastAsia" w:ascii="仿宋" w:hAnsi="仿宋" w:eastAsia="仿宋" w:cs="仿宋"/>
          <w:sz w:val="32"/>
          <w:szCs w:val="32"/>
          <w:lang w:val="zh-CN" w:eastAsia="zh-CN" w:bidi="zh-CN"/>
        </w:rPr>
        <w:t>人文社科类专业三级认证标准体系，认证办法等。</w:t>
      </w:r>
    </w:p>
    <w:p/>
    <w:sectPr>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utoSpaceDE w:val="0"/>
      <w:autoSpaceDN w:val="0"/>
      <w:spacing w:before="0" w:after="0" w:line="14" w:lineRule="auto"/>
      <w:ind w:left="0" w:right="0"/>
      <w:jc w:val="left"/>
      <w:rPr>
        <w:rFonts w:ascii="仿宋" w:hAnsi="仿宋" w:eastAsia="仿宋" w:cs="仿宋"/>
        <w:sz w:val="20"/>
        <w:szCs w:val="32"/>
        <w:lang w:val="zh-CN" w:eastAsia="zh-CN" w:bidi="zh-CN"/>
      </w:rPr>
    </w:pPr>
    <w:r>
      <w:rPr>
        <w:rFonts w:ascii="仿宋" w:hAnsi="仿宋" w:eastAsia="仿宋" w:cs="仿宋"/>
        <w:sz w:val="32"/>
        <w:szCs w:val="32"/>
        <w:lang w:val="zh-CN" w:eastAsia="zh-CN" w:bidi="zh-CN"/>
      </w:rPr>
      <mc:AlternateContent>
        <mc:Choice Requires="wps">
          <w:drawing>
            <wp:anchor distT="0" distB="0" distL="114300" distR="114300" simplePos="0" relativeHeight="251660288" behindDoc="1" locked="0" layoutInCell="1" allowOverlap="1">
              <wp:simplePos x="0" y="0"/>
              <wp:positionH relativeFrom="page">
                <wp:posOffset>5965825</wp:posOffset>
              </wp:positionH>
              <wp:positionV relativeFrom="page">
                <wp:posOffset>9582150</wp:posOffset>
              </wp:positionV>
              <wp:extent cx="635000" cy="19431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35000" cy="194310"/>
                      </a:xfrm>
                      <a:prstGeom prst="rect">
                        <a:avLst/>
                      </a:prstGeom>
                      <a:noFill/>
                      <a:ln>
                        <a:noFill/>
                      </a:ln>
                    </wps:spPr>
                    <wps:txbx>
                      <w:txbxContent>
                        <w:p>
                          <w:pPr>
                            <w:spacing w:before="0" w:line="301" w:lineRule="exact"/>
                            <w:ind w:left="20" w:right="0" w:firstLine="0"/>
                            <w:jc w:val="left"/>
                            <w:rPr>
                              <w:rFonts w:ascii="仿宋_GB2312" w:hAnsi="仿宋_GB2312"/>
                              <w:sz w:val="24"/>
                            </w:rPr>
                          </w:pPr>
                          <w:r>
                            <w:rPr>
                              <w:rFonts w:ascii="仿宋_GB2312" w:hAnsi="仿宋_GB2312"/>
                              <w:sz w:val="24"/>
                            </w:rPr>
                            <w:t xml:space="preserve">— </w:t>
                          </w:r>
                          <w:r>
                            <w:fldChar w:fldCharType="begin"/>
                          </w:r>
                          <w:r>
                            <w:rPr>
                              <w:rFonts w:ascii="Times New Roman" w:hAnsi="Times New Roman"/>
                              <w:sz w:val="24"/>
                            </w:rPr>
                            <w:instrText xml:space="preserve"> PAGE </w:instrText>
                          </w:r>
                          <w:r>
                            <w:fldChar w:fldCharType="separate"/>
                          </w:r>
                          <w:r>
                            <w:t>13</w:t>
                          </w:r>
                          <w:r>
                            <w:fldChar w:fldCharType="end"/>
                          </w:r>
                          <w:r>
                            <w:rPr>
                              <w:rFonts w:ascii="Times New Roman" w:hAnsi="Times New Roman"/>
                              <w:sz w:val="24"/>
                            </w:rPr>
                            <w:t xml:space="preserve"> </w:t>
                          </w:r>
                          <w:r>
                            <w:rPr>
                              <w:rFonts w:ascii="仿宋_GB2312" w:hAnsi="仿宋_GB2312"/>
                              <w:sz w:val="24"/>
                            </w:rPr>
                            <w:t>—</w:t>
                          </w:r>
                        </w:p>
                      </w:txbxContent>
                    </wps:txbx>
                    <wps:bodyPr lIns="0" tIns="0" rIns="0" bIns="0" upright="1"/>
                  </wps:wsp>
                </a:graphicData>
              </a:graphic>
            </wp:anchor>
          </w:drawing>
        </mc:Choice>
        <mc:Fallback>
          <w:pict>
            <v:shape id="_x0000_s1026" o:spid="_x0000_s1026" o:spt="202" type="#_x0000_t202" style="position:absolute;left:0pt;margin-left:469.75pt;margin-top:754.5pt;height:15.3pt;width:50pt;mso-position-horizontal-relative:page;mso-position-vertical-relative:page;z-index:-251656192;mso-width-relative:page;mso-height-relative:page;" filled="f" stroked="f" coordsize="21600,21600" o:gfxdata="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CxsO82QAAAA4BAAAPAAAAAAAAAAEAIAAAACIAAABkcnMvZG93bnJldi54bWxQSwEC&#10;FAAUAAAACACHTuJA4KITbboBAABxAwAADgAAAAAAAAABACAAAAAoAQAAZHJzL2Uyb0RvYy54bWxQ&#10;SwUGAAAAAAYABgBZAQAAVAUAAAAA&#10;">
              <v:path/>
              <v:fill on="f" focussize="0,0"/>
              <v:stroke on="f" joinstyle="miter"/>
              <v:imagedata o:title=""/>
              <o:lock v:ext="edit"/>
              <v:textbox inset="0mm,0mm,0mm,0mm">
                <w:txbxContent>
                  <w:p>
                    <w:pPr>
                      <w:spacing w:before="0" w:line="301" w:lineRule="exact"/>
                      <w:ind w:left="20" w:right="0" w:firstLine="0"/>
                      <w:jc w:val="left"/>
                      <w:rPr>
                        <w:rFonts w:ascii="仿宋_GB2312" w:hAnsi="仿宋_GB2312"/>
                        <w:sz w:val="24"/>
                      </w:rPr>
                    </w:pPr>
                    <w:r>
                      <w:rPr>
                        <w:rFonts w:ascii="仿宋_GB2312" w:hAnsi="仿宋_GB2312"/>
                        <w:sz w:val="24"/>
                      </w:rPr>
                      <w:t xml:space="preserve">— </w:t>
                    </w:r>
                    <w:r>
                      <w:fldChar w:fldCharType="begin"/>
                    </w:r>
                    <w:r>
                      <w:rPr>
                        <w:rFonts w:ascii="Times New Roman" w:hAnsi="Times New Roman"/>
                        <w:sz w:val="24"/>
                      </w:rPr>
                      <w:instrText xml:space="preserve"> PAGE </w:instrText>
                    </w:r>
                    <w:r>
                      <w:fldChar w:fldCharType="separate"/>
                    </w:r>
                    <w:r>
                      <w:t>13</w:t>
                    </w:r>
                    <w:r>
                      <w:fldChar w:fldCharType="end"/>
                    </w:r>
                    <w:r>
                      <w:rPr>
                        <w:rFonts w:ascii="Times New Roman" w:hAnsi="Times New Roman"/>
                        <w:sz w:val="24"/>
                      </w:rPr>
                      <w:t xml:space="preserve"> </w:t>
                    </w:r>
                    <w:r>
                      <w:rPr>
                        <w:rFonts w:ascii="仿宋_GB2312" w:hAnsi="仿宋_GB2312"/>
                        <w:sz w:val="24"/>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utoSpaceDE w:val="0"/>
      <w:autoSpaceDN w:val="0"/>
      <w:spacing w:before="0" w:after="0" w:line="14" w:lineRule="auto"/>
      <w:ind w:left="0" w:right="0"/>
      <w:jc w:val="left"/>
      <w:rPr>
        <w:rFonts w:ascii="仿宋" w:hAnsi="仿宋" w:eastAsia="仿宋" w:cs="仿宋"/>
        <w:sz w:val="20"/>
        <w:szCs w:val="32"/>
        <w:lang w:val="zh-CN" w:eastAsia="zh-CN" w:bidi="zh-CN"/>
      </w:rPr>
    </w:pPr>
    <w:r>
      <w:rPr>
        <w:rFonts w:ascii="仿宋" w:hAnsi="仿宋" w:eastAsia="仿宋" w:cs="仿宋"/>
        <w:sz w:val="32"/>
        <w:szCs w:val="32"/>
        <w:lang w:val="zh-CN" w:eastAsia="zh-CN" w:bidi="zh-CN"/>
      </w:rPr>
      <mc:AlternateContent>
        <mc:Choice Requires="wps">
          <w:drawing>
            <wp:anchor distT="0" distB="0" distL="114300" distR="114300" simplePos="0" relativeHeight="251659264" behindDoc="1" locked="0" layoutInCell="1" allowOverlap="1">
              <wp:simplePos x="0" y="0"/>
              <wp:positionH relativeFrom="page">
                <wp:posOffset>1075055</wp:posOffset>
              </wp:positionH>
              <wp:positionV relativeFrom="page">
                <wp:posOffset>9582150</wp:posOffset>
              </wp:positionV>
              <wp:extent cx="617220" cy="194310"/>
              <wp:effectExtent l="0" t="0" r="0" b="0"/>
              <wp:wrapNone/>
              <wp:docPr id="4" name="文本框 4"/>
              <wp:cNvGraphicFramePr/>
              <a:graphic xmlns:a="http://schemas.openxmlformats.org/drawingml/2006/main">
                <a:graphicData uri="http://schemas.microsoft.com/office/word/2010/wordprocessingShape">
                  <wps:wsp>
                    <wps:cNvSpPr txBox="1"/>
                    <wps:spPr>
                      <a:xfrm>
                        <a:off x="0" y="0"/>
                        <a:ext cx="617220" cy="194310"/>
                      </a:xfrm>
                      <a:prstGeom prst="rect">
                        <a:avLst/>
                      </a:prstGeom>
                      <a:noFill/>
                      <a:ln>
                        <a:noFill/>
                      </a:ln>
                    </wps:spPr>
                    <wps:txbx>
                      <w:txbxContent>
                        <w:p>
                          <w:pPr>
                            <w:spacing w:before="0" w:line="301" w:lineRule="exact"/>
                            <w:ind w:left="20" w:right="0" w:firstLine="0"/>
                            <w:jc w:val="left"/>
                            <w:rPr>
                              <w:rFonts w:ascii="宋体" w:hAnsi="宋体"/>
                              <w:sz w:val="24"/>
                            </w:rPr>
                          </w:pPr>
                          <w:r>
                            <w:rPr>
                              <w:rFonts w:ascii="宋体" w:hAnsi="宋体"/>
                              <w:sz w:val="24"/>
                            </w:rPr>
                            <w:t xml:space="preserve">— </w:t>
                          </w:r>
                          <w:r>
                            <w:fldChar w:fldCharType="begin"/>
                          </w:r>
                          <w:r>
                            <w:rPr>
                              <w:rFonts w:ascii="Times New Roman" w:hAnsi="Times New Roman"/>
                              <w:sz w:val="24"/>
                            </w:rPr>
                            <w:instrText xml:space="preserve"> PAGE </w:instrText>
                          </w:r>
                          <w:r>
                            <w:fldChar w:fldCharType="separate"/>
                          </w:r>
                          <w:r>
                            <w:t>10</w:t>
                          </w:r>
                          <w:r>
                            <w:fldChar w:fldCharType="end"/>
                          </w:r>
                          <w:r>
                            <w:rPr>
                              <w:rFonts w:ascii="Times New Roman" w:hAnsi="Times New Roman"/>
                              <w:sz w:val="24"/>
                            </w:rPr>
                            <w:t xml:space="preserve"> </w:t>
                          </w:r>
                          <w:r>
                            <w:rPr>
                              <w:rFonts w:ascii="宋体" w:hAnsi="宋体"/>
                              <w:sz w:val="24"/>
                            </w:rPr>
                            <w:t>—</w:t>
                          </w:r>
                        </w:p>
                      </w:txbxContent>
                    </wps:txbx>
                    <wps:bodyPr lIns="0" tIns="0" rIns="0" bIns="0" upright="1"/>
                  </wps:wsp>
                </a:graphicData>
              </a:graphic>
            </wp:anchor>
          </w:drawing>
        </mc:Choice>
        <mc:Fallback>
          <w:pict>
            <v:shape id="_x0000_s1026" o:spid="_x0000_s1026" o:spt="202" type="#_x0000_t202" style="position:absolute;left:0pt;margin-left:84.65pt;margin-top:754.5pt;height:15.3pt;width:48.6pt;mso-position-horizontal-relative:page;mso-position-vertical-relative:page;z-index:-251657216;mso-width-relative:page;mso-height-relative:page;" filled="f" stroked="f" coordsize="21600,21600" o:gfxdata="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S+UkzaAAAADQEAAA8AAAAAAAAAAQAgAAAAIgAAAGRycy9kb3ducmV2LnhtbFBL&#10;AQIUABQAAAAIAIdO4kAXlfbYuwEAAHEDAAAOAAAAAAAAAAEAIAAAACkBAABkcnMvZTJvRG9jLnht&#10;bFBLBQYAAAAABgAGAFkBAABWBQAAAAA=&#10;">
              <v:path/>
              <v:fill on="f" focussize="0,0"/>
              <v:stroke on="f" joinstyle="miter"/>
              <v:imagedata o:title=""/>
              <o:lock v:ext="edit"/>
              <v:textbox inset="0mm,0mm,0mm,0mm">
                <w:txbxContent>
                  <w:p>
                    <w:pPr>
                      <w:spacing w:before="0" w:line="301" w:lineRule="exact"/>
                      <w:ind w:left="20" w:right="0" w:firstLine="0"/>
                      <w:jc w:val="left"/>
                      <w:rPr>
                        <w:rFonts w:ascii="宋体" w:hAnsi="宋体"/>
                        <w:sz w:val="24"/>
                      </w:rPr>
                    </w:pPr>
                    <w:r>
                      <w:rPr>
                        <w:rFonts w:ascii="宋体" w:hAnsi="宋体"/>
                        <w:sz w:val="24"/>
                      </w:rPr>
                      <w:t xml:space="preserve">— </w:t>
                    </w:r>
                    <w:r>
                      <w:fldChar w:fldCharType="begin"/>
                    </w:r>
                    <w:r>
                      <w:rPr>
                        <w:rFonts w:ascii="Times New Roman" w:hAnsi="Times New Roman"/>
                        <w:sz w:val="24"/>
                      </w:rPr>
                      <w:instrText xml:space="preserve"> PAGE </w:instrText>
                    </w:r>
                    <w:r>
                      <w:fldChar w:fldCharType="separate"/>
                    </w:r>
                    <w:r>
                      <w:t>10</w:t>
                    </w:r>
                    <w:r>
                      <w:fldChar w:fldCharType="end"/>
                    </w:r>
                    <w:r>
                      <w:rPr>
                        <w:rFonts w:ascii="Times New Roman" w:hAnsi="Times New Roman"/>
                        <w:sz w:val="24"/>
                      </w:rPr>
                      <w:t xml:space="preserve"> </w:t>
                    </w:r>
                    <w:r>
                      <w:rPr>
                        <w:rFonts w:ascii="宋体" w:hAnsi="宋体"/>
                        <w:sz w:val="24"/>
                      </w:rP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5965825</wp:posOffset>
              </wp:positionH>
              <wp:positionV relativeFrom="page">
                <wp:posOffset>9582150</wp:posOffset>
              </wp:positionV>
              <wp:extent cx="635000" cy="1943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5000" cy="194310"/>
                      </a:xfrm>
                      <a:prstGeom prst="rect">
                        <a:avLst/>
                      </a:prstGeom>
                      <a:noFill/>
                      <a:ln>
                        <a:noFill/>
                      </a:ln>
                    </wps:spPr>
                    <wps:txbx>
                      <w:txbxContent>
                        <w:p>
                          <w:pPr>
                            <w:spacing w:before="0" w:line="301" w:lineRule="exact"/>
                            <w:ind w:left="20" w:right="0" w:firstLine="0"/>
                            <w:jc w:val="left"/>
                            <w:rPr>
                              <w:rFonts w:ascii="仿宋_GB2312" w:hAnsi="仿宋_GB2312"/>
                              <w:sz w:val="24"/>
                            </w:rPr>
                          </w:pPr>
                          <w:r>
                            <w:rPr>
                              <w:rFonts w:ascii="仿宋_GB2312" w:hAnsi="仿宋_GB2312"/>
                              <w:sz w:val="24"/>
                            </w:rPr>
                            <w:t xml:space="preserve">— </w:t>
                          </w:r>
                          <w:r>
                            <w:fldChar w:fldCharType="begin"/>
                          </w:r>
                          <w:r>
                            <w:rPr>
                              <w:rFonts w:ascii="Times New Roman" w:hAnsi="Times New Roman"/>
                              <w:sz w:val="24"/>
                            </w:rPr>
                            <w:instrText xml:space="preserve"> PAGE </w:instrText>
                          </w:r>
                          <w:r>
                            <w:fldChar w:fldCharType="separate"/>
                          </w:r>
                          <w:r>
                            <w:t>13</w:t>
                          </w:r>
                          <w:r>
                            <w:fldChar w:fldCharType="end"/>
                          </w:r>
                          <w:r>
                            <w:rPr>
                              <w:rFonts w:ascii="Times New Roman" w:hAnsi="Times New Roman"/>
                              <w:sz w:val="24"/>
                            </w:rPr>
                            <w:t xml:space="preserve"> </w:t>
                          </w:r>
                          <w:r>
                            <w:rPr>
                              <w:rFonts w:ascii="仿宋_GB2312" w:hAnsi="仿宋_GB2312"/>
                              <w:sz w:val="24"/>
                            </w:rPr>
                            <w:t>—</w:t>
                          </w:r>
                        </w:p>
                      </w:txbxContent>
                    </wps:txbx>
                    <wps:bodyPr lIns="0" tIns="0" rIns="0" bIns="0" upright="1"/>
                  </wps:wsp>
                </a:graphicData>
              </a:graphic>
            </wp:anchor>
          </w:drawing>
        </mc:Choice>
        <mc:Fallback>
          <w:pict>
            <v:shape id="_x0000_s1026" o:spid="_x0000_s1026" o:spt="202" type="#_x0000_t202" style="position:absolute;left:0pt;margin-left:469.75pt;margin-top:754.5pt;height:15.3pt;width:50pt;mso-position-horizontal-relative:page;mso-position-vertical-relative:page;z-index:-251656192;mso-width-relative:page;mso-height-relative:page;" filled="f" stroked="f" coordsize="21600,21600" o:gfxdata="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CxsO82QAAAA4BAAAPAAAAAAAAAAEAIAAAACIAAABkcnMvZG93bnJldi54bWxQSwEC&#10;FAAUAAAACACHTuJAS0cx8LoBAABxAwAADgAAAAAAAAABACAAAAAoAQAAZHJzL2Uyb0RvYy54bWxQ&#10;SwUGAAAAAAYABgBZAQAAVAUAAAAA&#10;">
              <v:fill on="f" focussize="0,0"/>
              <v:stroke on="f"/>
              <v:imagedata o:title=""/>
              <o:lock v:ext="edit" aspectratio="f"/>
              <v:textbox inset="0mm,0mm,0mm,0mm">
                <w:txbxContent>
                  <w:p>
                    <w:pPr>
                      <w:spacing w:before="0" w:line="301" w:lineRule="exact"/>
                      <w:ind w:left="20" w:right="0" w:firstLine="0"/>
                      <w:jc w:val="left"/>
                      <w:rPr>
                        <w:rFonts w:ascii="仿宋_GB2312" w:hAnsi="仿宋_GB2312"/>
                        <w:sz w:val="24"/>
                      </w:rPr>
                    </w:pPr>
                    <w:r>
                      <w:rPr>
                        <w:rFonts w:ascii="仿宋_GB2312" w:hAnsi="仿宋_GB2312"/>
                        <w:sz w:val="24"/>
                      </w:rPr>
                      <w:t xml:space="preserve">— </w:t>
                    </w:r>
                    <w:r>
                      <w:fldChar w:fldCharType="begin"/>
                    </w:r>
                    <w:r>
                      <w:rPr>
                        <w:rFonts w:ascii="Times New Roman" w:hAnsi="Times New Roman"/>
                        <w:sz w:val="24"/>
                      </w:rPr>
                      <w:instrText xml:space="preserve"> PAGE </w:instrText>
                    </w:r>
                    <w:r>
                      <w:fldChar w:fldCharType="separate"/>
                    </w:r>
                    <w:r>
                      <w:t>13</w:t>
                    </w:r>
                    <w:r>
                      <w:fldChar w:fldCharType="end"/>
                    </w:r>
                    <w:r>
                      <w:rPr>
                        <w:rFonts w:ascii="Times New Roman" w:hAnsi="Times New Roman"/>
                        <w:sz w:val="24"/>
                      </w:rPr>
                      <w:t xml:space="preserve"> </w:t>
                    </w:r>
                    <w:r>
                      <w:rPr>
                        <w:rFonts w:ascii="仿宋_GB2312" w:hAnsi="仿宋_GB2312"/>
                        <w:sz w:val="24"/>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1200" w:hanging="324"/>
        <w:jc w:val="left"/>
      </w:pPr>
      <w:rPr>
        <w:rFonts w:hint="default" w:ascii="楷体" w:hAnsi="楷体" w:eastAsia="楷体" w:cs="楷体"/>
        <w:b/>
        <w:bCs/>
        <w:spacing w:val="1"/>
        <w:w w:val="98"/>
        <w:sz w:val="30"/>
        <w:szCs w:val="30"/>
        <w:lang w:val="zh-CN" w:eastAsia="zh-CN" w:bidi="zh-CN"/>
      </w:rPr>
    </w:lvl>
    <w:lvl w:ilvl="1" w:tentative="0">
      <w:start w:val="0"/>
      <w:numFmt w:val="bullet"/>
      <w:lvlText w:val="•"/>
      <w:lvlJc w:val="left"/>
      <w:pPr>
        <w:ind w:left="2141" w:hanging="324"/>
      </w:pPr>
      <w:rPr>
        <w:rFonts w:hint="default"/>
        <w:lang w:val="zh-CN" w:eastAsia="zh-CN" w:bidi="zh-CN"/>
      </w:rPr>
    </w:lvl>
    <w:lvl w:ilvl="2" w:tentative="0">
      <w:start w:val="0"/>
      <w:numFmt w:val="bullet"/>
      <w:lvlText w:val="•"/>
      <w:lvlJc w:val="left"/>
      <w:pPr>
        <w:ind w:left="3082" w:hanging="324"/>
      </w:pPr>
      <w:rPr>
        <w:rFonts w:hint="default"/>
        <w:lang w:val="zh-CN" w:eastAsia="zh-CN" w:bidi="zh-CN"/>
      </w:rPr>
    </w:lvl>
    <w:lvl w:ilvl="3" w:tentative="0">
      <w:start w:val="0"/>
      <w:numFmt w:val="bullet"/>
      <w:lvlText w:val="•"/>
      <w:lvlJc w:val="left"/>
      <w:pPr>
        <w:ind w:left="4023" w:hanging="324"/>
      </w:pPr>
      <w:rPr>
        <w:rFonts w:hint="default"/>
        <w:lang w:val="zh-CN" w:eastAsia="zh-CN" w:bidi="zh-CN"/>
      </w:rPr>
    </w:lvl>
    <w:lvl w:ilvl="4" w:tentative="0">
      <w:start w:val="0"/>
      <w:numFmt w:val="bullet"/>
      <w:lvlText w:val="•"/>
      <w:lvlJc w:val="left"/>
      <w:pPr>
        <w:ind w:left="4964" w:hanging="324"/>
      </w:pPr>
      <w:rPr>
        <w:rFonts w:hint="default"/>
        <w:lang w:val="zh-CN" w:eastAsia="zh-CN" w:bidi="zh-CN"/>
      </w:rPr>
    </w:lvl>
    <w:lvl w:ilvl="5" w:tentative="0">
      <w:start w:val="0"/>
      <w:numFmt w:val="bullet"/>
      <w:lvlText w:val="•"/>
      <w:lvlJc w:val="left"/>
      <w:pPr>
        <w:ind w:left="5905" w:hanging="324"/>
      </w:pPr>
      <w:rPr>
        <w:rFonts w:hint="default"/>
        <w:lang w:val="zh-CN" w:eastAsia="zh-CN" w:bidi="zh-CN"/>
      </w:rPr>
    </w:lvl>
    <w:lvl w:ilvl="6" w:tentative="0">
      <w:start w:val="0"/>
      <w:numFmt w:val="bullet"/>
      <w:lvlText w:val="•"/>
      <w:lvlJc w:val="left"/>
      <w:pPr>
        <w:ind w:left="6846" w:hanging="324"/>
      </w:pPr>
      <w:rPr>
        <w:rFonts w:hint="default"/>
        <w:lang w:val="zh-CN" w:eastAsia="zh-CN" w:bidi="zh-CN"/>
      </w:rPr>
    </w:lvl>
    <w:lvl w:ilvl="7" w:tentative="0">
      <w:start w:val="0"/>
      <w:numFmt w:val="bullet"/>
      <w:lvlText w:val="•"/>
      <w:lvlJc w:val="left"/>
      <w:pPr>
        <w:ind w:left="7787" w:hanging="324"/>
      </w:pPr>
      <w:rPr>
        <w:rFonts w:hint="default"/>
        <w:lang w:val="zh-CN" w:eastAsia="zh-CN" w:bidi="zh-CN"/>
      </w:rPr>
    </w:lvl>
    <w:lvl w:ilvl="8" w:tentative="0">
      <w:start w:val="0"/>
      <w:numFmt w:val="bullet"/>
      <w:lvlText w:val="•"/>
      <w:lvlJc w:val="left"/>
      <w:pPr>
        <w:ind w:left="8728" w:hanging="324"/>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51739A"/>
    <w:rsid w:val="13517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left="112"/>
      <w:outlineLvl w:val="1"/>
    </w:pPr>
    <w:rPr>
      <w:rFonts w:ascii="方正小标宋简体" w:hAnsi="方正小标宋简体" w:eastAsia="方正小标宋简体" w:cs="方正小标宋简体"/>
      <w:sz w:val="44"/>
      <w:szCs w:val="44"/>
      <w:lang w:val="zh-CN" w:eastAsia="zh-CN" w:bidi="zh-CN"/>
    </w:rPr>
  </w:style>
  <w:style w:type="paragraph" w:styleId="3">
    <w:name w:val="heading 2"/>
    <w:basedOn w:val="1"/>
    <w:next w:val="1"/>
    <w:qFormat/>
    <w:uiPriority w:val="1"/>
    <w:pPr>
      <w:ind w:left="1361" w:hanging="486"/>
      <w:outlineLvl w:val="2"/>
    </w:pPr>
    <w:rPr>
      <w:rFonts w:ascii="楷体" w:hAnsi="楷体" w:eastAsia="楷体" w:cs="楷体"/>
      <w:b/>
      <w:bCs/>
      <w:sz w:val="32"/>
      <w:szCs w:val="32"/>
      <w:lang w:val="zh-CN" w:eastAsia="zh-CN" w:bidi="zh-CN"/>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仿宋" w:hAnsi="仿宋" w:eastAsia="仿宋" w:cs="仿宋"/>
      <w:sz w:val="32"/>
      <w:szCs w:val="32"/>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2021-03-15T02:48:00Z</dcterms:created>
  <dc:creator>今是昨非</dc:creator>
  <cp:lastModifiedBy>今是昨非</cp:lastModifiedBy>
  <dcterms:modified xsi:type="dcterms:W3CDTF">2021-03-15T02:50:47Z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48CB5A6D3B1348D89F30F1B6EDF5384D</vt:lpwstr>
  </property>
</Properties>
</file>